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7824" w14:textId="77777777" w:rsidR="0027045B" w:rsidRDefault="0027045B">
      <w:pPr>
        <w:ind w:left="0" w:firstLine="0"/>
        <w:jc w:val="center"/>
        <w:rPr>
          <w:rFonts w:ascii="Arial Narrow" w:eastAsia="Arial Narrow" w:hAnsi="Arial Narrow" w:cs="Arial Narrow"/>
          <w:b/>
          <w:sz w:val="28"/>
          <w:szCs w:val="28"/>
        </w:rPr>
      </w:pPr>
      <w:bookmarkStart w:id="0" w:name="_Hlk229082372"/>
      <w:r w:rsidRPr="0027045B">
        <w:rPr>
          <w:rFonts w:ascii="Arial Narrow" w:eastAsia="Arial Narrow" w:hAnsi="Arial Narrow" w:cs="Arial Narrow"/>
          <w:b/>
          <w:sz w:val="28"/>
          <w:szCs w:val="28"/>
        </w:rPr>
        <w:t xml:space="preserve">ORGANIZATIONAL CULTURE CHANGE IN PUBLIC SECTOR DEVELOPMENT THROUGH INNOVATIVE </w:t>
      </w:r>
    </w:p>
    <w:p w14:paraId="5A18D419" w14:textId="6715446A" w:rsidR="007E0982" w:rsidRPr="0027045B" w:rsidRDefault="0027045B">
      <w:pPr>
        <w:ind w:left="0" w:firstLine="0"/>
        <w:jc w:val="center"/>
        <w:rPr>
          <w:rFonts w:ascii="Arial Narrow" w:eastAsia="Arial Narrow" w:hAnsi="Arial Narrow" w:cs="Arial Narrow"/>
          <w:b/>
          <w:sz w:val="28"/>
          <w:szCs w:val="28"/>
        </w:rPr>
      </w:pPr>
      <w:r w:rsidRPr="0027045B">
        <w:rPr>
          <w:rFonts w:ascii="Arial Narrow" w:eastAsia="Arial Narrow" w:hAnsi="Arial Narrow" w:cs="Arial Narrow"/>
          <w:b/>
          <w:sz w:val="28"/>
          <w:szCs w:val="28"/>
        </w:rPr>
        <w:t>ORGANIZATIONAL PRACTICES</w:t>
      </w:r>
    </w:p>
    <w:p w14:paraId="058D9F2C" w14:textId="77777777" w:rsidR="007E0982" w:rsidRPr="0027045B" w:rsidRDefault="007E0982">
      <w:pPr>
        <w:ind w:left="0" w:firstLine="0"/>
        <w:jc w:val="center"/>
        <w:rPr>
          <w:rFonts w:asciiTheme="minorHAnsi" w:eastAsia="Arial Narrow" w:hAnsiTheme="minorHAnsi" w:cs="Arial Narrow"/>
          <w:i/>
        </w:rPr>
      </w:pPr>
    </w:p>
    <w:p w14:paraId="12FE7C63" w14:textId="77777777" w:rsidR="0027045B" w:rsidRDefault="00AF088C">
      <w:pPr>
        <w:ind w:left="0" w:firstLine="0"/>
        <w:jc w:val="center"/>
        <w:rPr>
          <w:rFonts w:ascii="Arial Narrow" w:eastAsia="Arial Narrow" w:hAnsi="Arial Narrow" w:cs="Arial Narrow"/>
          <w:b/>
        </w:rPr>
      </w:pPr>
      <w:bookmarkStart w:id="1" w:name="_Hlk218215427"/>
      <w:r w:rsidRPr="0027045B">
        <w:rPr>
          <w:rFonts w:ascii="Arial Narrow" w:eastAsia="Arial Narrow" w:hAnsi="Arial Narrow" w:cs="Arial Narrow"/>
          <w:b/>
        </w:rPr>
        <w:t xml:space="preserve">Perubahan Budaya Organisasi dalam Pengembangan Sektor Publik melalui </w:t>
      </w:r>
    </w:p>
    <w:p w14:paraId="5B3366E4" w14:textId="1883CA8F" w:rsidR="007E0982" w:rsidRPr="0027045B" w:rsidRDefault="00AF088C">
      <w:pPr>
        <w:ind w:left="0" w:firstLine="0"/>
        <w:jc w:val="center"/>
        <w:rPr>
          <w:rFonts w:ascii="Arial Narrow" w:eastAsia="Arial Narrow" w:hAnsi="Arial Narrow" w:cs="Arial Narrow"/>
          <w:b/>
        </w:rPr>
      </w:pPr>
      <w:r w:rsidRPr="0027045B">
        <w:rPr>
          <w:rFonts w:ascii="Arial Narrow" w:eastAsia="Arial Narrow" w:hAnsi="Arial Narrow" w:cs="Arial Narrow"/>
          <w:b/>
        </w:rPr>
        <w:t>Praktik Organisasi yang Inovatif</w:t>
      </w:r>
      <w:bookmarkEnd w:id="1"/>
    </w:p>
    <w:bookmarkEnd w:id="0"/>
    <w:p w14:paraId="5DFF124A" w14:textId="77777777" w:rsidR="007E0982" w:rsidRPr="0027045B" w:rsidRDefault="007E0982">
      <w:pPr>
        <w:ind w:left="0" w:firstLine="0"/>
        <w:jc w:val="center"/>
        <w:rPr>
          <w:rFonts w:asciiTheme="minorHAnsi" w:eastAsia="Arial Narrow" w:hAnsiTheme="minorHAnsi" w:cs="Arial Narrow"/>
          <w:i/>
        </w:rPr>
      </w:pPr>
    </w:p>
    <w:p w14:paraId="1D6D9C71" w14:textId="57900726" w:rsidR="007E0982" w:rsidRPr="0027045B" w:rsidRDefault="00AF088C">
      <w:pPr>
        <w:ind w:left="0" w:firstLine="0"/>
        <w:jc w:val="center"/>
        <w:rPr>
          <w:rFonts w:ascii="Arial Narrow" w:eastAsia="Arial Narrow" w:hAnsi="Arial Narrow" w:cs="Arial Narrow"/>
          <w:b/>
          <w:lang w:val="en-US"/>
        </w:rPr>
      </w:pPr>
      <w:bookmarkStart w:id="2" w:name="_Hlk229082397"/>
      <w:bookmarkStart w:id="3" w:name="_GoBack"/>
      <w:proofErr w:type="spellStart"/>
      <w:r w:rsidRPr="0027045B">
        <w:rPr>
          <w:rFonts w:ascii="Arial Narrow" w:eastAsia="Arial Narrow" w:hAnsi="Arial Narrow" w:cs="Arial Narrow"/>
          <w:b/>
          <w:lang w:val="en-US"/>
        </w:rPr>
        <w:t>Anggos</w:t>
      </w:r>
      <w:proofErr w:type="spellEnd"/>
      <w:r w:rsidRPr="0027045B">
        <w:rPr>
          <w:rFonts w:ascii="Arial Narrow" w:eastAsia="Arial Narrow" w:hAnsi="Arial Narrow" w:cs="Arial Narrow"/>
          <w:b/>
          <w:lang w:val="en-US"/>
        </w:rPr>
        <w:t xml:space="preserve"> </w:t>
      </w:r>
      <w:proofErr w:type="spellStart"/>
      <w:r w:rsidRPr="0027045B">
        <w:rPr>
          <w:rFonts w:ascii="Arial Narrow" w:eastAsia="Arial Narrow" w:hAnsi="Arial Narrow" w:cs="Arial Narrow"/>
          <w:b/>
          <w:lang w:val="en-US"/>
        </w:rPr>
        <w:t>Habil</w:t>
      </w:r>
      <w:proofErr w:type="spellEnd"/>
      <w:r w:rsidRPr="0027045B">
        <w:rPr>
          <w:rFonts w:ascii="Arial Narrow" w:eastAsia="Arial Narrow" w:hAnsi="Arial Narrow" w:cs="Arial Narrow"/>
          <w:b/>
          <w:lang w:val="en-US"/>
        </w:rPr>
        <w:t xml:space="preserve"> </w:t>
      </w:r>
      <w:proofErr w:type="spellStart"/>
      <w:r w:rsidRPr="0027045B">
        <w:rPr>
          <w:rFonts w:ascii="Arial Narrow" w:eastAsia="Arial Narrow" w:hAnsi="Arial Narrow" w:cs="Arial Narrow"/>
          <w:b/>
          <w:lang w:val="en-US"/>
        </w:rPr>
        <w:t>Seulalae</w:t>
      </w:r>
      <w:proofErr w:type="spellEnd"/>
      <w:r w:rsidR="00D60A14" w:rsidRPr="0027045B">
        <w:rPr>
          <w:rFonts w:ascii="Arial Narrow" w:eastAsia="Arial Narrow" w:hAnsi="Arial Narrow" w:cs="Arial Narrow"/>
          <w:b/>
        </w:rPr>
        <w:t xml:space="preserve"> </w:t>
      </w:r>
      <w:bookmarkEnd w:id="3"/>
      <w:r w:rsidR="00D60A14" w:rsidRPr="0027045B">
        <w:rPr>
          <w:rFonts w:ascii="Arial Narrow" w:eastAsia="Arial Narrow" w:hAnsi="Arial Narrow" w:cs="Arial Narrow"/>
          <w:b/>
          <w:vertAlign w:val="superscript"/>
        </w:rPr>
        <w:t>1</w:t>
      </w:r>
      <w:proofErr w:type="gramStart"/>
      <w:r w:rsidR="00D60A14" w:rsidRPr="0027045B">
        <w:rPr>
          <w:rFonts w:ascii="Arial Narrow" w:eastAsia="Arial Narrow" w:hAnsi="Arial Narrow" w:cs="Arial Narrow"/>
          <w:b/>
          <w:vertAlign w:val="superscript"/>
        </w:rPr>
        <w:t>a</w:t>
      </w:r>
      <w:r w:rsidR="00D60A14" w:rsidRPr="0027045B">
        <w:rPr>
          <w:rFonts w:ascii="Arial Narrow" w:eastAsia="Arial Narrow" w:hAnsi="Arial Narrow" w:cs="Arial Narrow"/>
          <w:b/>
        </w:rPr>
        <w:t>(</w:t>
      </w:r>
      <w:proofErr w:type="gramEnd"/>
      <w:r w:rsidR="00D60A14" w:rsidRPr="0027045B">
        <w:rPr>
          <w:rFonts w:ascii="Arial Narrow" w:eastAsia="Arial Narrow" w:hAnsi="Arial Narrow" w:cs="Arial Narrow"/>
          <w:b/>
        </w:rPr>
        <w:t xml:space="preserve">*) </w:t>
      </w:r>
      <w:proofErr w:type="spellStart"/>
      <w:r w:rsidR="00034CDC" w:rsidRPr="0027045B">
        <w:rPr>
          <w:rFonts w:ascii="Arial Narrow" w:eastAsia="Arial Narrow" w:hAnsi="Arial Narrow" w:cs="Arial Narrow"/>
          <w:b/>
          <w:lang w:val="en-US"/>
        </w:rPr>
        <w:t>Aldri</w:t>
      </w:r>
      <w:proofErr w:type="spellEnd"/>
      <w:r w:rsidR="00034CDC" w:rsidRPr="0027045B">
        <w:rPr>
          <w:rFonts w:ascii="Arial Narrow" w:eastAsia="Arial Narrow" w:hAnsi="Arial Narrow" w:cs="Arial Narrow"/>
          <w:b/>
          <w:lang w:val="en-US"/>
        </w:rPr>
        <w:t xml:space="preserve"> </w:t>
      </w:r>
      <w:proofErr w:type="spellStart"/>
      <w:r w:rsidR="00034CDC" w:rsidRPr="0027045B">
        <w:rPr>
          <w:rFonts w:ascii="Arial Narrow" w:eastAsia="Arial Narrow" w:hAnsi="Arial Narrow" w:cs="Arial Narrow"/>
          <w:b/>
          <w:lang w:val="en-US"/>
        </w:rPr>
        <w:t>Frinaldi</w:t>
      </w:r>
      <w:proofErr w:type="spellEnd"/>
      <w:r w:rsidR="00D60A14" w:rsidRPr="0027045B">
        <w:rPr>
          <w:rFonts w:ascii="Arial Narrow" w:eastAsia="Arial Narrow" w:hAnsi="Arial Narrow" w:cs="Arial Narrow"/>
          <w:b/>
        </w:rPr>
        <w:t xml:space="preserve"> </w:t>
      </w:r>
      <w:r w:rsidR="00D60A14" w:rsidRPr="0027045B">
        <w:rPr>
          <w:rFonts w:ascii="Arial Narrow" w:eastAsia="Arial Narrow" w:hAnsi="Arial Narrow" w:cs="Arial Narrow"/>
          <w:b/>
          <w:vertAlign w:val="superscript"/>
        </w:rPr>
        <w:t>2b</w:t>
      </w:r>
      <w:r w:rsidR="00357EB2" w:rsidRPr="0027045B">
        <w:rPr>
          <w:rFonts w:ascii="Arial Narrow" w:eastAsia="Arial Narrow" w:hAnsi="Arial Narrow" w:cs="Arial Narrow"/>
          <w:b/>
          <w:vertAlign w:val="superscript"/>
          <w:lang w:val="en-US"/>
        </w:rPr>
        <w:t xml:space="preserve"> </w:t>
      </w:r>
      <w:proofErr w:type="spellStart"/>
      <w:r w:rsidR="001E7327" w:rsidRPr="0027045B">
        <w:rPr>
          <w:rFonts w:ascii="Arial Narrow" w:eastAsia="Arial Narrow" w:hAnsi="Arial Narrow" w:cs="Arial Narrow"/>
          <w:b/>
          <w:lang w:val="en-US"/>
        </w:rPr>
        <w:t>Angga</w:t>
      </w:r>
      <w:proofErr w:type="spellEnd"/>
      <w:r w:rsidR="001E7327" w:rsidRPr="0027045B">
        <w:rPr>
          <w:rFonts w:ascii="Arial Narrow" w:eastAsia="Arial Narrow" w:hAnsi="Arial Narrow" w:cs="Arial Narrow"/>
          <w:b/>
          <w:lang w:val="en-US"/>
        </w:rPr>
        <w:t xml:space="preserve"> Putra Tri </w:t>
      </w:r>
      <w:proofErr w:type="spellStart"/>
      <w:r w:rsidR="001E7327" w:rsidRPr="0027045B">
        <w:rPr>
          <w:rFonts w:ascii="Arial Narrow" w:eastAsia="Arial Narrow" w:hAnsi="Arial Narrow" w:cs="Arial Narrow"/>
          <w:b/>
          <w:lang w:val="en-US"/>
        </w:rPr>
        <w:t>Rezeki</w:t>
      </w:r>
      <w:proofErr w:type="spellEnd"/>
      <w:r w:rsidR="00357EB2" w:rsidRPr="0027045B">
        <w:rPr>
          <w:rFonts w:ascii="Arial Narrow" w:eastAsia="Arial Narrow" w:hAnsi="Arial Narrow" w:cs="Arial Narrow"/>
          <w:b/>
        </w:rPr>
        <w:t xml:space="preserve"> </w:t>
      </w:r>
      <w:r w:rsidR="00357EB2" w:rsidRPr="0027045B">
        <w:rPr>
          <w:rFonts w:ascii="Arial Narrow" w:eastAsia="Arial Narrow" w:hAnsi="Arial Narrow" w:cs="Arial Narrow"/>
          <w:b/>
          <w:vertAlign w:val="superscript"/>
          <w:lang w:val="en-US"/>
        </w:rPr>
        <w:t>3c</w:t>
      </w:r>
    </w:p>
    <w:p w14:paraId="111762AF" w14:textId="77777777" w:rsidR="007E0982" w:rsidRPr="0027045B" w:rsidRDefault="007E0982">
      <w:pPr>
        <w:ind w:left="0" w:firstLine="0"/>
        <w:jc w:val="center"/>
        <w:rPr>
          <w:rFonts w:ascii="Arial Narrow" w:eastAsia="Arial Narrow" w:hAnsi="Arial Narrow" w:cs="Arial Narrow"/>
          <w:i/>
        </w:rPr>
      </w:pPr>
    </w:p>
    <w:p w14:paraId="49319FED" w14:textId="77777777" w:rsidR="00357EB2" w:rsidRPr="0027045B" w:rsidRDefault="00D60A14" w:rsidP="00357EB2">
      <w:pPr>
        <w:ind w:left="0" w:firstLine="0"/>
        <w:jc w:val="center"/>
        <w:rPr>
          <w:rFonts w:ascii="Arial Narrow" w:eastAsia="Arial Narrow" w:hAnsi="Arial Narrow" w:cs="Arial Narrow"/>
          <w:sz w:val="18"/>
          <w:szCs w:val="18"/>
          <w:lang w:val="en-US"/>
        </w:rPr>
      </w:pPr>
      <w:r w:rsidRPr="0027045B">
        <w:rPr>
          <w:rFonts w:ascii="Arial Narrow" w:eastAsia="Arial Narrow" w:hAnsi="Arial Narrow" w:cs="Arial Narrow"/>
          <w:sz w:val="18"/>
          <w:szCs w:val="18"/>
          <w:vertAlign w:val="superscript"/>
        </w:rPr>
        <w:t>1</w:t>
      </w:r>
      <w:r w:rsidR="00357EB2" w:rsidRPr="0027045B">
        <w:rPr>
          <w:rFonts w:ascii="Arial Narrow" w:eastAsia="Arial Narrow" w:hAnsi="Arial Narrow" w:cs="Arial Narrow"/>
          <w:sz w:val="18"/>
          <w:szCs w:val="18"/>
          <w:vertAlign w:val="superscript"/>
          <w:lang w:val="en-US"/>
        </w:rPr>
        <w:t>,2,3</w:t>
      </w:r>
      <w:r w:rsidR="00357EB2" w:rsidRPr="0027045B">
        <w:rPr>
          <w:rFonts w:ascii="Arial Narrow" w:eastAsia="MS Mincho" w:hAnsi="Arial Narrow" w:cs="Arial"/>
          <w:sz w:val="18"/>
          <w:szCs w:val="18"/>
          <w:lang w:eastAsia="en-US"/>
        </w:rPr>
        <w:t xml:space="preserve"> </w:t>
      </w:r>
      <w:r w:rsidR="00357EB2" w:rsidRPr="0027045B">
        <w:rPr>
          <w:rFonts w:ascii="Arial Narrow" w:eastAsia="Arial Narrow" w:hAnsi="Arial Narrow" w:cs="Arial Narrow"/>
          <w:sz w:val="18"/>
          <w:szCs w:val="18"/>
        </w:rPr>
        <w:t>Program Studi Magister Ilmu Administrasi Negara</w:t>
      </w:r>
      <w:r w:rsidR="00357EB2" w:rsidRPr="0027045B">
        <w:rPr>
          <w:rFonts w:ascii="Arial Narrow" w:eastAsia="Arial Narrow" w:hAnsi="Arial Narrow" w:cs="Arial Narrow"/>
          <w:sz w:val="18"/>
          <w:szCs w:val="18"/>
          <w:lang w:val="en-US"/>
        </w:rPr>
        <w:t xml:space="preserve">, </w:t>
      </w:r>
    </w:p>
    <w:p w14:paraId="0FD12476" w14:textId="47F68A6D" w:rsidR="007E0982" w:rsidRPr="0027045B" w:rsidRDefault="00357EB2" w:rsidP="00357EB2">
      <w:pPr>
        <w:ind w:left="0" w:firstLine="0"/>
        <w:jc w:val="center"/>
        <w:rPr>
          <w:rFonts w:ascii="Arial Narrow" w:eastAsia="Arial Narrow" w:hAnsi="Arial Narrow" w:cs="Arial Narrow"/>
          <w:sz w:val="18"/>
          <w:szCs w:val="18"/>
          <w:lang w:val="en-US"/>
        </w:rPr>
      </w:pPr>
      <w:proofErr w:type="spellStart"/>
      <w:r w:rsidRPr="0027045B">
        <w:rPr>
          <w:rFonts w:ascii="Arial Narrow" w:eastAsia="Arial Narrow" w:hAnsi="Arial Narrow" w:cs="Arial Narrow"/>
          <w:sz w:val="18"/>
          <w:szCs w:val="18"/>
          <w:lang w:val="en-US"/>
        </w:rPr>
        <w:t>Universitas</w:t>
      </w:r>
      <w:proofErr w:type="spellEnd"/>
      <w:r w:rsidRPr="0027045B">
        <w:rPr>
          <w:rFonts w:ascii="Arial Narrow" w:eastAsia="Arial Narrow" w:hAnsi="Arial Narrow" w:cs="Arial Narrow"/>
          <w:sz w:val="18"/>
          <w:szCs w:val="18"/>
          <w:lang w:val="en-US"/>
        </w:rPr>
        <w:t xml:space="preserve"> Negeri Padang</w:t>
      </w:r>
    </w:p>
    <w:p w14:paraId="582954BB" w14:textId="77777777" w:rsidR="0027045B" w:rsidRPr="0027045B" w:rsidRDefault="0027045B" w:rsidP="00357EB2">
      <w:pPr>
        <w:ind w:left="0" w:firstLine="0"/>
        <w:jc w:val="center"/>
        <w:rPr>
          <w:rFonts w:ascii="Arial Narrow" w:eastAsia="Arial Narrow" w:hAnsi="Arial Narrow" w:cs="Arial Narrow"/>
          <w:sz w:val="18"/>
          <w:szCs w:val="18"/>
        </w:rPr>
      </w:pPr>
    </w:p>
    <w:bookmarkEnd w:id="2"/>
    <w:p w14:paraId="657082C7" w14:textId="17F32693" w:rsidR="00F07BF0" w:rsidRPr="0027045B" w:rsidRDefault="00D60A14" w:rsidP="00F07BF0">
      <w:pPr>
        <w:ind w:left="0" w:firstLine="0"/>
        <w:jc w:val="center"/>
        <w:rPr>
          <w:rFonts w:ascii="Arial Narrow" w:eastAsia="Arial Narrow" w:hAnsi="Arial Narrow" w:cs="Arial Narrow"/>
          <w:i/>
          <w:sz w:val="18"/>
          <w:szCs w:val="18"/>
        </w:rPr>
      </w:pPr>
      <w:r w:rsidRPr="0027045B">
        <w:rPr>
          <w:rFonts w:ascii="Arial Narrow" w:eastAsia="Arial Narrow" w:hAnsi="Arial Narrow" w:cs="Arial Narrow"/>
          <w:i/>
          <w:sz w:val="18"/>
          <w:szCs w:val="18"/>
          <w:vertAlign w:val="superscript"/>
        </w:rPr>
        <w:t>a</w:t>
      </w:r>
      <w:r w:rsidR="002C7551" w:rsidRPr="0027045B">
        <w:rPr>
          <w:rFonts w:ascii="Arial Narrow" w:hAnsi="Arial Narrow"/>
          <w:sz w:val="18"/>
          <w:szCs w:val="18"/>
        </w:rPr>
        <w:fldChar w:fldCharType="begin"/>
      </w:r>
      <w:r w:rsidR="002C7551" w:rsidRPr="0027045B">
        <w:rPr>
          <w:rFonts w:ascii="Arial Narrow" w:hAnsi="Arial Narrow"/>
          <w:sz w:val="18"/>
          <w:szCs w:val="18"/>
        </w:rPr>
        <w:instrText xml:space="preserve"> HYPERLINK "mailto:anggoshabils@gmail.com" </w:instrText>
      </w:r>
      <w:r w:rsidR="002C7551" w:rsidRPr="0027045B">
        <w:rPr>
          <w:rFonts w:ascii="Arial Narrow" w:hAnsi="Arial Narrow"/>
          <w:sz w:val="18"/>
          <w:szCs w:val="18"/>
        </w:rPr>
        <w:fldChar w:fldCharType="separate"/>
      </w:r>
      <w:r w:rsidR="00AF088C" w:rsidRPr="0027045B">
        <w:rPr>
          <w:rStyle w:val="Hyperlink"/>
          <w:rFonts w:ascii="Arial Narrow" w:hAnsi="Arial Narrow"/>
          <w:color w:val="auto"/>
          <w:sz w:val="18"/>
          <w:szCs w:val="18"/>
          <w:u w:val="none"/>
          <w:lang w:val="en-US"/>
        </w:rPr>
        <w:t>anggoshabils@gmail.com</w:t>
      </w:r>
      <w:r w:rsidR="002C7551" w:rsidRPr="0027045B">
        <w:rPr>
          <w:rStyle w:val="Hyperlink"/>
          <w:rFonts w:ascii="Arial Narrow" w:hAnsi="Arial Narrow"/>
          <w:color w:val="auto"/>
          <w:sz w:val="18"/>
          <w:szCs w:val="18"/>
          <w:u w:val="none"/>
          <w:lang w:val="en-US"/>
        </w:rPr>
        <w:fldChar w:fldCharType="end"/>
      </w:r>
    </w:p>
    <w:p w14:paraId="28560A2D" w14:textId="77777777" w:rsidR="007E0982" w:rsidRPr="0027045B" w:rsidRDefault="00D60A14">
      <w:pPr>
        <w:ind w:left="0" w:firstLine="0"/>
        <w:jc w:val="center"/>
        <w:rPr>
          <w:rFonts w:ascii="Arial Narrow" w:eastAsia="Arial Narrow" w:hAnsi="Arial Narrow" w:cs="Arial Narrow"/>
          <w:i/>
          <w:sz w:val="18"/>
          <w:szCs w:val="18"/>
        </w:rPr>
      </w:pPr>
      <w:r w:rsidRPr="0027045B">
        <w:rPr>
          <w:rFonts w:ascii="Arial Narrow" w:eastAsia="Arial Narrow" w:hAnsi="Arial Narrow" w:cs="Arial Narrow"/>
          <w:i/>
          <w:sz w:val="18"/>
          <w:szCs w:val="18"/>
          <w:vertAlign w:val="superscript"/>
        </w:rPr>
        <w:t>b</w:t>
      </w:r>
      <w:r w:rsidR="002C7551" w:rsidRPr="0027045B">
        <w:rPr>
          <w:rFonts w:ascii="Arial Narrow" w:hAnsi="Arial Narrow"/>
          <w:sz w:val="18"/>
          <w:szCs w:val="18"/>
        </w:rPr>
        <w:fldChar w:fldCharType="begin"/>
      </w:r>
      <w:r w:rsidR="002C7551" w:rsidRPr="0027045B">
        <w:rPr>
          <w:rFonts w:ascii="Arial Narrow" w:hAnsi="Arial Narrow"/>
          <w:sz w:val="18"/>
          <w:szCs w:val="18"/>
        </w:rPr>
        <w:instrText xml:space="preserve"> HYPERLINK "mailto:aldri@fis.unp.ac.id" </w:instrText>
      </w:r>
      <w:r w:rsidR="002C7551" w:rsidRPr="0027045B">
        <w:rPr>
          <w:rFonts w:ascii="Arial Narrow" w:hAnsi="Arial Narrow"/>
          <w:sz w:val="18"/>
          <w:szCs w:val="18"/>
        </w:rPr>
        <w:fldChar w:fldCharType="separate"/>
      </w:r>
      <w:r w:rsidR="00F07BF0" w:rsidRPr="0027045B">
        <w:rPr>
          <w:rStyle w:val="Hyperlink"/>
          <w:rFonts w:ascii="Arial Narrow" w:eastAsia="Arial Narrow" w:hAnsi="Arial Narrow" w:cs="Arial Narrow"/>
          <w:i/>
          <w:color w:val="auto"/>
          <w:sz w:val="18"/>
          <w:szCs w:val="18"/>
          <w:u w:val="none"/>
          <w:lang w:val="en-US"/>
        </w:rPr>
        <w:t>aldri@fis.unp.ac.id</w:t>
      </w:r>
      <w:r w:rsidR="002C7551" w:rsidRPr="0027045B">
        <w:rPr>
          <w:rStyle w:val="Hyperlink"/>
          <w:rFonts w:ascii="Arial Narrow" w:eastAsia="Arial Narrow" w:hAnsi="Arial Narrow" w:cs="Arial Narrow"/>
          <w:i/>
          <w:color w:val="auto"/>
          <w:sz w:val="18"/>
          <w:szCs w:val="18"/>
          <w:u w:val="none"/>
          <w:lang w:val="en-US"/>
        </w:rPr>
        <w:fldChar w:fldCharType="end"/>
      </w:r>
    </w:p>
    <w:p w14:paraId="07D119D2" w14:textId="170D42AB" w:rsidR="007E0982" w:rsidRPr="0027045B" w:rsidRDefault="00F07BF0">
      <w:pPr>
        <w:ind w:left="0" w:firstLine="0"/>
        <w:jc w:val="center"/>
        <w:rPr>
          <w:rFonts w:ascii="Arial Narrow" w:eastAsia="Arial Narrow" w:hAnsi="Arial Narrow" w:cs="Arial Narrow"/>
          <w:i/>
          <w:sz w:val="18"/>
          <w:szCs w:val="18"/>
        </w:rPr>
      </w:pPr>
      <w:r w:rsidRPr="0027045B">
        <w:rPr>
          <w:rFonts w:ascii="Arial Narrow" w:eastAsia="Arial Narrow" w:hAnsi="Arial Narrow" w:cs="Arial Narrow"/>
          <w:i/>
          <w:sz w:val="18"/>
          <w:szCs w:val="18"/>
          <w:vertAlign w:val="superscript"/>
          <w:lang w:val="en-US"/>
        </w:rPr>
        <w:t>c</w:t>
      </w:r>
      <w:hyperlink r:id="rId8" w:history="1">
        <w:r w:rsidR="001E7327" w:rsidRPr="0027045B">
          <w:rPr>
            <w:rStyle w:val="Hyperlink"/>
            <w:rFonts w:ascii="Arial Narrow" w:eastAsia="Arial Narrow" w:hAnsi="Arial Narrow" w:cs="Arial Narrow"/>
            <w:i/>
            <w:color w:val="auto"/>
            <w:sz w:val="18"/>
            <w:szCs w:val="18"/>
            <w:u w:val="none"/>
          </w:rPr>
          <w:t>anggaputera@unp.ac.id</w:t>
        </w:r>
      </w:hyperlink>
    </w:p>
    <w:p w14:paraId="7BD84CFA" w14:textId="77777777" w:rsidR="00F07BF0" w:rsidRPr="0027045B" w:rsidRDefault="00F07BF0">
      <w:pPr>
        <w:ind w:left="0" w:firstLine="0"/>
        <w:jc w:val="center"/>
        <w:rPr>
          <w:rFonts w:ascii="Arial Narrow" w:eastAsia="Arial Narrow" w:hAnsi="Arial Narrow" w:cs="Arial Narrow"/>
          <w:i/>
          <w:sz w:val="18"/>
          <w:szCs w:val="18"/>
        </w:rPr>
      </w:pPr>
    </w:p>
    <w:p w14:paraId="340DFBCC" w14:textId="77777777" w:rsidR="007E0982" w:rsidRPr="0027045B" w:rsidRDefault="00D60A14" w:rsidP="00357EB2">
      <w:pPr>
        <w:ind w:left="0" w:firstLine="0"/>
        <w:jc w:val="center"/>
        <w:rPr>
          <w:rFonts w:ascii="Arial Narrow" w:eastAsia="Arial Narrow" w:hAnsi="Arial Narrow" w:cs="Arial Narrow"/>
          <w:sz w:val="18"/>
          <w:szCs w:val="18"/>
        </w:rPr>
      </w:pPr>
      <w:r w:rsidRPr="0027045B">
        <w:rPr>
          <w:rFonts w:ascii="Arial Narrow" w:eastAsia="Arial Narrow" w:hAnsi="Arial Narrow" w:cs="Arial Narrow"/>
          <w:sz w:val="18"/>
          <w:szCs w:val="18"/>
        </w:rPr>
        <w:t>(*) Corresponding Author</w:t>
      </w:r>
    </w:p>
    <w:bookmarkStart w:id="4" w:name="_Hlk229082434"/>
    <w:p w14:paraId="17818705" w14:textId="45F8A7C1" w:rsidR="00F07BF0" w:rsidRPr="0027045B" w:rsidRDefault="00BE6228" w:rsidP="00357EB2">
      <w:pPr>
        <w:ind w:left="0" w:firstLine="0"/>
        <w:jc w:val="center"/>
        <w:rPr>
          <w:rFonts w:ascii="Arial Narrow" w:eastAsia="Arial Narrow" w:hAnsi="Arial Narrow" w:cs="Arial Narrow"/>
          <w:sz w:val="18"/>
          <w:szCs w:val="18"/>
        </w:rPr>
      </w:pPr>
      <w:r w:rsidRPr="0027045B">
        <w:rPr>
          <w:rFonts w:ascii="Arial Narrow" w:hAnsi="Arial Narrow"/>
          <w:sz w:val="18"/>
          <w:szCs w:val="18"/>
        </w:rPr>
        <w:fldChar w:fldCharType="begin"/>
      </w:r>
      <w:r w:rsidRPr="0027045B">
        <w:rPr>
          <w:rFonts w:ascii="Arial Narrow" w:hAnsi="Arial Narrow"/>
          <w:sz w:val="18"/>
          <w:szCs w:val="18"/>
        </w:rPr>
        <w:instrText xml:space="preserve"> HYPERLINK "mailto:Anggoshabils@gmail.com" </w:instrText>
      </w:r>
      <w:r w:rsidRPr="0027045B">
        <w:rPr>
          <w:rFonts w:ascii="Arial Narrow" w:hAnsi="Arial Narrow"/>
          <w:sz w:val="18"/>
          <w:szCs w:val="18"/>
        </w:rPr>
        <w:fldChar w:fldCharType="separate"/>
      </w:r>
      <w:r w:rsidR="00AF088C" w:rsidRPr="0027045B">
        <w:rPr>
          <w:rStyle w:val="Hyperlink"/>
          <w:rFonts w:ascii="Arial Narrow" w:hAnsi="Arial Narrow"/>
          <w:color w:val="auto"/>
          <w:sz w:val="18"/>
          <w:szCs w:val="18"/>
          <w:u w:val="none"/>
          <w:lang w:val="en-US"/>
        </w:rPr>
        <w:t>anggoshabils@gmail.com</w:t>
      </w:r>
      <w:r w:rsidRPr="0027045B">
        <w:rPr>
          <w:rStyle w:val="Hyperlink"/>
          <w:rFonts w:ascii="Arial Narrow" w:hAnsi="Arial Narrow"/>
          <w:color w:val="auto"/>
          <w:sz w:val="18"/>
          <w:szCs w:val="18"/>
          <w:u w:val="none"/>
          <w:lang w:val="en-US"/>
        </w:rPr>
        <w:fldChar w:fldCharType="end"/>
      </w:r>
    </w:p>
    <w:bookmarkEnd w:id="4"/>
    <w:p w14:paraId="5F259059" w14:textId="77777777" w:rsidR="007E0982" w:rsidRPr="0027045B" w:rsidRDefault="007E0982">
      <w:pPr>
        <w:ind w:left="0" w:firstLine="0"/>
        <w:jc w:val="center"/>
        <w:rPr>
          <w:rFonts w:ascii="Arial Narrow" w:eastAsia="Arial Narrow" w:hAnsi="Arial Narrow" w:cs="Arial Narrow"/>
          <w:sz w:val="18"/>
          <w:szCs w:val="18"/>
        </w:rPr>
      </w:pPr>
    </w:p>
    <w:p w14:paraId="39C0C469" w14:textId="2A09F405" w:rsidR="007E0982" w:rsidRPr="0027045B" w:rsidRDefault="00D60A14" w:rsidP="00AF088C">
      <w:pPr>
        <w:pBdr>
          <w:top w:val="nil"/>
          <w:left w:val="nil"/>
          <w:bottom w:val="nil"/>
          <w:right w:val="nil"/>
          <w:between w:val="nil"/>
        </w:pBdr>
        <w:tabs>
          <w:tab w:val="center" w:pos="4513"/>
          <w:tab w:val="right" w:pos="9026"/>
        </w:tabs>
        <w:ind w:left="0" w:firstLine="0"/>
        <w:rPr>
          <w:rFonts w:ascii="Arial Narrow" w:eastAsia="Arial Narrow" w:hAnsi="Arial Narrow" w:cs="Arial Narrow"/>
          <w:i/>
        </w:rPr>
      </w:pPr>
      <w:r w:rsidRPr="0027045B">
        <w:rPr>
          <w:rFonts w:ascii="Arial Narrow" w:eastAsia="Arial Narrow" w:hAnsi="Arial Narrow" w:cs="Arial Narrow"/>
          <w:b/>
          <w:sz w:val="18"/>
          <w:szCs w:val="18"/>
        </w:rPr>
        <w:t>How to Cite:</w:t>
      </w:r>
      <w:r w:rsidRPr="0027045B">
        <w:rPr>
          <w:rFonts w:ascii="Arial Narrow" w:eastAsia="Arial Narrow" w:hAnsi="Arial Narrow" w:cs="Arial Narrow"/>
          <w:sz w:val="18"/>
          <w:szCs w:val="18"/>
        </w:rPr>
        <w:t xml:space="preserve"> </w:t>
      </w:r>
      <w:proofErr w:type="spellStart"/>
      <w:r w:rsidR="00A6243B" w:rsidRPr="0027045B">
        <w:rPr>
          <w:rFonts w:ascii="Arial Narrow" w:eastAsia="Arial Narrow" w:hAnsi="Arial Narrow" w:cs="Arial Narrow"/>
          <w:bCs/>
          <w:sz w:val="18"/>
          <w:szCs w:val="18"/>
          <w:lang w:val="en-US"/>
        </w:rPr>
        <w:t>Anggos</w:t>
      </w:r>
      <w:proofErr w:type="spellEnd"/>
      <w:r w:rsidR="00A6243B" w:rsidRPr="0027045B">
        <w:rPr>
          <w:rFonts w:ascii="Arial Narrow" w:eastAsia="Arial Narrow" w:hAnsi="Arial Narrow" w:cs="Arial Narrow"/>
          <w:bCs/>
          <w:sz w:val="18"/>
          <w:szCs w:val="18"/>
          <w:lang w:val="en-US"/>
        </w:rPr>
        <w:t xml:space="preserve"> </w:t>
      </w:r>
      <w:proofErr w:type="spellStart"/>
      <w:r w:rsidR="00A6243B" w:rsidRPr="0027045B">
        <w:rPr>
          <w:rFonts w:ascii="Arial Narrow" w:eastAsia="Arial Narrow" w:hAnsi="Arial Narrow" w:cs="Arial Narrow"/>
          <w:bCs/>
          <w:sz w:val="18"/>
          <w:szCs w:val="18"/>
          <w:lang w:val="en-US"/>
        </w:rPr>
        <w:t>Habil</w:t>
      </w:r>
      <w:proofErr w:type="spellEnd"/>
      <w:r w:rsidR="00A6243B" w:rsidRPr="0027045B">
        <w:rPr>
          <w:rFonts w:ascii="Arial Narrow" w:eastAsia="Arial Narrow" w:hAnsi="Arial Narrow" w:cs="Arial Narrow"/>
          <w:bCs/>
          <w:sz w:val="18"/>
          <w:szCs w:val="18"/>
          <w:lang w:val="en-US"/>
        </w:rPr>
        <w:t xml:space="preserve"> </w:t>
      </w:r>
      <w:proofErr w:type="spellStart"/>
      <w:r w:rsidR="00A6243B" w:rsidRPr="0027045B">
        <w:rPr>
          <w:rFonts w:ascii="Arial Narrow" w:eastAsia="Arial Narrow" w:hAnsi="Arial Narrow" w:cs="Arial Narrow"/>
          <w:bCs/>
          <w:sz w:val="18"/>
          <w:szCs w:val="18"/>
          <w:lang w:val="en-US"/>
        </w:rPr>
        <w:t>Seulalae</w:t>
      </w:r>
      <w:proofErr w:type="spellEnd"/>
      <w:r w:rsidRPr="0027045B">
        <w:rPr>
          <w:rFonts w:ascii="Arial Narrow" w:eastAsia="Arial Narrow" w:hAnsi="Arial Narrow" w:cs="Arial Narrow"/>
          <w:bCs/>
          <w:sz w:val="18"/>
          <w:szCs w:val="18"/>
        </w:rPr>
        <w:t xml:space="preserve"> (202</w:t>
      </w:r>
      <w:r w:rsidR="00AF088C" w:rsidRPr="0027045B">
        <w:rPr>
          <w:rFonts w:ascii="Arial Narrow" w:eastAsia="Arial Narrow" w:hAnsi="Arial Narrow" w:cs="Arial Narrow"/>
          <w:bCs/>
          <w:sz w:val="18"/>
          <w:szCs w:val="18"/>
          <w:lang w:val="en-US"/>
        </w:rPr>
        <w:t>6</w:t>
      </w:r>
      <w:r w:rsidRPr="0027045B">
        <w:rPr>
          <w:rFonts w:ascii="Arial Narrow" w:eastAsia="Arial Narrow" w:hAnsi="Arial Narrow" w:cs="Arial Narrow"/>
          <w:bCs/>
          <w:sz w:val="18"/>
          <w:szCs w:val="18"/>
        </w:rPr>
        <w:t xml:space="preserve">). </w:t>
      </w:r>
      <w:r w:rsidR="00A6243B" w:rsidRPr="0027045B">
        <w:rPr>
          <w:rFonts w:ascii="Arial Narrow" w:eastAsia="Arial Narrow" w:hAnsi="Arial Narrow" w:cs="Arial Narrow"/>
          <w:bCs/>
          <w:sz w:val="18"/>
          <w:szCs w:val="18"/>
        </w:rPr>
        <w:t>Organizational Culture Change in Public Sector Development through Innovative Organizational Practices</w:t>
      </w:r>
      <w:r w:rsidRPr="0027045B">
        <w:rPr>
          <w:rFonts w:ascii="Arial Narrow" w:eastAsia="Arial Narrow" w:hAnsi="Arial Narrow" w:cs="Arial Narrow"/>
          <w:bCs/>
          <w:sz w:val="18"/>
          <w:szCs w:val="18"/>
        </w:rPr>
        <w:t xml:space="preserve">                                                            </w:t>
      </w:r>
      <w:r w:rsidR="0027045B" w:rsidRPr="0027045B">
        <w:rPr>
          <w:rFonts w:ascii="Arial Narrow" w:eastAsia="Arial Narrow" w:hAnsi="Arial Narrow" w:cs="Arial Narrow"/>
          <w:bCs/>
          <w:sz w:val="18"/>
          <w:szCs w:val="18"/>
          <w:lang w:val="en-US"/>
        </w:rPr>
        <w:t xml:space="preserve">  </w:t>
      </w:r>
      <w:r w:rsidR="0027045B">
        <w:rPr>
          <w:rFonts w:ascii="Arial Narrow" w:eastAsia="Arial Narrow" w:hAnsi="Arial Narrow" w:cs="Arial Narrow"/>
          <w:bCs/>
          <w:sz w:val="18"/>
          <w:szCs w:val="18"/>
          <w:lang w:val="en-US"/>
        </w:rPr>
        <w:t xml:space="preserve">                                 </w:t>
      </w:r>
      <w:r w:rsidRPr="0027045B">
        <w:rPr>
          <w:rFonts w:ascii="Arial Narrow" w:eastAsia="Arial Narrow" w:hAnsi="Arial Narrow" w:cs="Arial Narrow"/>
          <w:bCs/>
          <w:sz w:val="18"/>
          <w:szCs w:val="18"/>
        </w:rPr>
        <w:t xml:space="preserve"> </w:t>
      </w:r>
      <w:r w:rsidRPr="0027045B">
        <w:rPr>
          <w:rFonts w:ascii="Arial Narrow" w:eastAsia="Arial Narrow" w:hAnsi="Arial Narrow" w:cs="Arial Narrow"/>
          <w:sz w:val="18"/>
          <w:szCs w:val="18"/>
        </w:rPr>
        <w:t>doi</w:t>
      </w:r>
      <w:r w:rsidRPr="0027045B">
        <w:rPr>
          <w:rFonts w:ascii="Arial Narrow" w:eastAsia="Arial Narrow" w:hAnsi="Arial Narrow" w:cs="Arial Narrow"/>
          <w:b/>
          <w:sz w:val="16"/>
          <w:szCs w:val="16"/>
        </w:rPr>
        <w:t>:</w:t>
      </w:r>
      <w:r w:rsidR="0027045B" w:rsidRPr="0027045B">
        <w:t xml:space="preserve"> </w:t>
      </w:r>
      <w:hyperlink r:id="rId9">
        <w:r w:rsidR="0027045B">
          <w:rPr>
            <w:rFonts w:ascii="Arial Narrow" w:eastAsia="Arial Narrow" w:hAnsi="Arial Narrow" w:cs="Arial Narrow"/>
            <w:b/>
            <w:sz w:val="16"/>
            <w:szCs w:val="16"/>
          </w:rPr>
          <w:t>10.36526/js.v3i2.</w:t>
        </w:r>
      </w:hyperlink>
      <w:r w:rsidR="0027045B">
        <w:rPr>
          <w:rFonts w:ascii="Arial Narrow" w:eastAsia="Arial Narrow" w:hAnsi="Arial Narrow" w:cs="Arial Narrow"/>
          <w:b/>
          <w:sz w:val="16"/>
          <w:szCs w:val="16"/>
          <w:lang w:val="en-US"/>
        </w:rPr>
        <w:t>7123</w:t>
      </w:r>
    </w:p>
    <w:tbl>
      <w:tblPr>
        <w:tblStyle w:val="a"/>
        <w:tblW w:w="793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10"/>
        <w:gridCol w:w="5528"/>
      </w:tblGrid>
      <w:tr w:rsidR="0027045B" w:rsidRPr="0027045B" w14:paraId="060FF0E5" w14:textId="77777777" w:rsidTr="0027045B">
        <w:trPr>
          <w:trHeight w:val="70"/>
        </w:trPr>
        <w:tc>
          <w:tcPr>
            <w:tcW w:w="2410" w:type="dxa"/>
            <w:tcBorders>
              <w:top w:val="thinThickSmallGap" w:sz="24" w:space="0" w:color="000000"/>
            </w:tcBorders>
          </w:tcPr>
          <w:p w14:paraId="333BCBEF" w14:textId="77777777" w:rsidR="007E0982" w:rsidRPr="0027045B" w:rsidRDefault="007E0982">
            <w:pPr>
              <w:ind w:left="-108" w:firstLine="0"/>
              <w:jc w:val="left"/>
              <w:rPr>
                <w:rFonts w:ascii="Arial Narrow" w:eastAsia="Arial Narrow" w:hAnsi="Arial Narrow" w:cs="Arial Narrow"/>
                <w:sz w:val="18"/>
                <w:szCs w:val="18"/>
              </w:rPr>
            </w:pPr>
          </w:p>
        </w:tc>
        <w:tc>
          <w:tcPr>
            <w:tcW w:w="5528" w:type="dxa"/>
            <w:tcBorders>
              <w:top w:val="thinThickSmallGap" w:sz="24" w:space="0" w:color="000000"/>
            </w:tcBorders>
            <w:shd w:val="clear" w:color="auto" w:fill="8DB3E2"/>
          </w:tcPr>
          <w:p w14:paraId="180B56DC" w14:textId="77777777" w:rsidR="007E0982" w:rsidRPr="0027045B" w:rsidRDefault="00D60A14">
            <w:pPr>
              <w:ind w:left="-108" w:firstLine="0"/>
              <w:rPr>
                <w:rFonts w:ascii="Arial Narrow" w:eastAsia="Arial Narrow" w:hAnsi="Arial Narrow" w:cs="Arial Narrow"/>
                <w:b/>
                <w:sz w:val="18"/>
                <w:szCs w:val="18"/>
              </w:rPr>
            </w:pPr>
            <w:r w:rsidRPr="0027045B">
              <w:rPr>
                <w:rFonts w:ascii="Arial Narrow" w:eastAsia="Arial Narrow" w:hAnsi="Arial Narrow" w:cs="Arial Narrow"/>
                <w:b/>
                <w:sz w:val="18"/>
                <w:szCs w:val="18"/>
              </w:rPr>
              <w:t>Abstract</w:t>
            </w:r>
          </w:p>
        </w:tc>
      </w:tr>
      <w:tr w:rsidR="0027045B" w:rsidRPr="0027045B" w14:paraId="2F77ED50" w14:textId="77777777" w:rsidTr="00BA56EA">
        <w:tc>
          <w:tcPr>
            <w:tcW w:w="2410" w:type="dxa"/>
            <w:tcBorders>
              <w:bottom w:val="thinThickSmallGap" w:sz="24" w:space="0" w:color="000000"/>
            </w:tcBorders>
          </w:tcPr>
          <w:p w14:paraId="0E0CAEDD" w14:textId="4198B8CA" w:rsidR="0027045B" w:rsidRPr="0027045B" w:rsidRDefault="0027045B">
            <w:pPr>
              <w:ind w:left="-108" w:firstLine="0"/>
              <w:jc w:val="left"/>
              <w:rPr>
                <w:rFonts w:ascii="Arial Narrow" w:eastAsia="Arial Narrow" w:hAnsi="Arial Narrow" w:cs="Arial Narrow"/>
                <w:sz w:val="18"/>
                <w:szCs w:val="18"/>
                <w:lang w:val="en-US"/>
              </w:rPr>
            </w:pPr>
            <w:r w:rsidRPr="0027045B">
              <w:rPr>
                <w:rFonts w:ascii="Arial Narrow" w:eastAsia="Arial Narrow" w:hAnsi="Arial Narrow" w:cs="Arial Narrow"/>
                <w:sz w:val="18"/>
                <w:szCs w:val="18"/>
              </w:rPr>
              <w:t>Received</w:t>
            </w:r>
            <w:r>
              <w:rPr>
                <w:rFonts w:ascii="Arial Narrow" w:eastAsia="Arial Narrow" w:hAnsi="Arial Narrow" w:cs="Arial Narrow"/>
                <w:sz w:val="18"/>
                <w:szCs w:val="18"/>
                <w:lang w:val="en-US"/>
              </w:rPr>
              <w:t xml:space="preserve"> </w:t>
            </w:r>
            <w:r w:rsidRPr="0027045B">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12-01-2026</w:t>
            </w:r>
          </w:p>
          <w:p w14:paraId="179D16D3" w14:textId="79CA3E7A" w:rsidR="0027045B" w:rsidRPr="0027045B" w:rsidRDefault="0027045B">
            <w:pPr>
              <w:ind w:left="-108" w:firstLine="0"/>
              <w:jc w:val="left"/>
              <w:rPr>
                <w:rFonts w:ascii="Arial Narrow" w:eastAsia="Arial Narrow" w:hAnsi="Arial Narrow" w:cs="Arial Narrow"/>
                <w:sz w:val="18"/>
                <w:szCs w:val="18"/>
                <w:lang w:val="en-US"/>
              </w:rPr>
            </w:pPr>
            <w:r w:rsidRPr="0027045B">
              <w:rPr>
                <w:rFonts w:ascii="Arial Narrow" w:eastAsia="Arial Narrow" w:hAnsi="Arial Narrow" w:cs="Arial Narrow"/>
                <w:sz w:val="18"/>
                <w:szCs w:val="18"/>
              </w:rPr>
              <w:t>Revised</w:t>
            </w:r>
            <w:r>
              <w:rPr>
                <w:rFonts w:ascii="Arial Narrow" w:eastAsia="Arial Narrow" w:hAnsi="Arial Narrow" w:cs="Arial Narrow"/>
                <w:sz w:val="18"/>
                <w:szCs w:val="18"/>
                <w:lang w:val="en-US"/>
              </w:rPr>
              <w:t xml:space="preserve">   </w:t>
            </w:r>
            <w:r w:rsidRPr="0027045B">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28-02-2026</w:t>
            </w:r>
          </w:p>
          <w:p w14:paraId="6BD03EAD" w14:textId="2BDFCC20" w:rsidR="0027045B" w:rsidRPr="0027045B" w:rsidRDefault="0027045B">
            <w:pPr>
              <w:ind w:left="-108" w:firstLine="0"/>
              <w:jc w:val="left"/>
              <w:rPr>
                <w:rFonts w:ascii="Arial Narrow" w:eastAsia="Arial Narrow" w:hAnsi="Arial Narrow" w:cs="Arial Narrow"/>
                <w:sz w:val="18"/>
                <w:szCs w:val="18"/>
                <w:lang w:val="en-US"/>
              </w:rPr>
            </w:pPr>
            <w:r w:rsidRPr="0027045B">
              <w:rPr>
                <w:rFonts w:ascii="Arial Narrow" w:eastAsia="Arial Narrow" w:hAnsi="Arial Narrow" w:cs="Arial Narrow"/>
                <w:sz w:val="18"/>
                <w:szCs w:val="18"/>
              </w:rPr>
              <w:t>Accepted</w:t>
            </w:r>
            <w:r>
              <w:rPr>
                <w:rFonts w:ascii="Arial Narrow" w:eastAsia="Arial Narrow" w:hAnsi="Arial Narrow" w:cs="Arial Narrow"/>
                <w:sz w:val="18"/>
                <w:szCs w:val="18"/>
                <w:lang w:val="en-US"/>
              </w:rPr>
              <w:t xml:space="preserve"> </w:t>
            </w:r>
            <w:r w:rsidRPr="0027045B">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w:t>
            </w:r>
            <w:r w:rsidRPr="0027045B">
              <w:rPr>
                <w:rFonts w:ascii="Arial Narrow" w:eastAsia="Arial Narrow" w:hAnsi="Arial Narrow" w:cs="Arial Narrow"/>
                <w:b/>
                <w:bCs/>
                <w:sz w:val="18"/>
                <w:szCs w:val="18"/>
                <w:lang w:val="en-US"/>
              </w:rPr>
              <w:t>13-03-2026</w:t>
            </w:r>
          </w:p>
          <w:p w14:paraId="64B33689" w14:textId="77777777" w:rsidR="0027045B" w:rsidRDefault="0027045B">
            <w:pPr>
              <w:ind w:left="-108" w:firstLine="0"/>
              <w:jc w:val="left"/>
              <w:rPr>
                <w:rFonts w:ascii="Arial Narrow" w:eastAsia="Arial Narrow" w:hAnsi="Arial Narrow" w:cs="Arial Narrow"/>
                <w:sz w:val="18"/>
                <w:szCs w:val="18"/>
              </w:rPr>
            </w:pPr>
          </w:p>
          <w:p w14:paraId="091E955B" w14:textId="77777777" w:rsidR="0027045B" w:rsidRDefault="0027045B">
            <w:pPr>
              <w:ind w:left="-108" w:firstLine="0"/>
              <w:jc w:val="left"/>
              <w:rPr>
                <w:rFonts w:ascii="Arial Narrow" w:eastAsia="Arial Narrow" w:hAnsi="Arial Narrow" w:cs="Arial Narrow"/>
                <w:sz w:val="18"/>
                <w:szCs w:val="18"/>
              </w:rPr>
            </w:pPr>
            <w:r w:rsidRPr="0027045B">
              <w:rPr>
                <w:rFonts w:ascii="Arial Narrow" w:eastAsia="Arial Narrow" w:hAnsi="Arial Narrow" w:cs="Arial Narrow"/>
                <w:b/>
                <w:sz w:val="18"/>
                <w:szCs w:val="18"/>
              </w:rPr>
              <w:t>Keywords:</w:t>
            </w:r>
            <w:r w:rsidRPr="0027045B">
              <w:rPr>
                <w:rFonts w:ascii="Arial Narrow" w:eastAsia="Arial Narrow" w:hAnsi="Arial Narrow" w:cs="Arial Narrow"/>
                <w:sz w:val="18"/>
                <w:szCs w:val="18"/>
              </w:rPr>
              <w:t xml:space="preserve"> </w:t>
            </w:r>
          </w:p>
          <w:p w14:paraId="451B8D33" w14:textId="3C7B9C27" w:rsidR="0027045B" w:rsidRPr="0027045B" w:rsidRDefault="0027045B">
            <w:pPr>
              <w:ind w:left="-108" w:firstLine="0"/>
              <w:jc w:val="left"/>
              <w:rPr>
                <w:rFonts w:ascii="Arial Narrow" w:eastAsia="Arial Narrow" w:hAnsi="Arial Narrow" w:cs="Arial Narrow"/>
                <w:sz w:val="18"/>
                <w:szCs w:val="18"/>
              </w:rPr>
            </w:pPr>
            <w:r w:rsidRPr="0027045B">
              <w:rPr>
                <w:rFonts w:ascii="Arial Narrow" w:eastAsia="Arial Narrow" w:hAnsi="Arial Narrow" w:cs="Arial Narrow"/>
                <w:sz w:val="18"/>
                <w:szCs w:val="18"/>
              </w:rPr>
              <w:t xml:space="preserve">Organizational Culture; </w:t>
            </w:r>
          </w:p>
          <w:p w14:paraId="48D8E45F" w14:textId="582D360B" w:rsidR="0027045B" w:rsidRPr="0027045B" w:rsidRDefault="0027045B">
            <w:pPr>
              <w:ind w:left="-108" w:firstLine="0"/>
              <w:jc w:val="left"/>
              <w:rPr>
                <w:rFonts w:ascii="Arial Narrow" w:eastAsia="Arial Narrow" w:hAnsi="Arial Narrow" w:cs="Arial Narrow"/>
                <w:sz w:val="18"/>
                <w:szCs w:val="18"/>
              </w:rPr>
            </w:pPr>
            <w:r w:rsidRPr="0027045B">
              <w:rPr>
                <w:rFonts w:ascii="Arial Narrow" w:eastAsia="Arial Narrow" w:hAnsi="Arial Narrow" w:cs="Arial Narrow"/>
                <w:sz w:val="18"/>
                <w:szCs w:val="18"/>
              </w:rPr>
              <w:t xml:space="preserve">Public Sector Development; Organizational Innovation; </w:t>
            </w:r>
          </w:p>
          <w:p w14:paraId="696C7E00" w14:textId="7BFBF42C" w:rsidR="0027045B" w:rsidRPr="0027045B" w:rsidRDefault="0027045B">
            <w:pPr>
              <w:ind w:left="-108" w:firstLine="0"/>
              <w:jc w:val="left"/>
              <w:rPr>
                <w:rFonts w:ascii="Arial Narrow" w:eastAsia="Arial Narrow" w:hAnsi="Arial Narrow" w:cs="Arial Narrow"/>
                <w:sz w:val="18"/>
                <w:szCs w:val="18"/>
              </w:rPr>
            </w:pPr>
            <w:r w:rsidRPr="0027045B">
              <w:rPr>
                <w:rFonts w:ascii="Arial Narrow" w:eastAsia="Arial Narrow" w:hAnsi="Arial Narrow" w:cs="Arial Narrow"/>
                <w:sz w:val="18"/>
                <w:szCs w:val="18"/>
              </w:rPr>
              <w:t xml:space="preserve">Public Sector Reform; </w:t>
            </w:r>
          </w:p>
          <w:p w14:paraId="7DA0C000" w14:textId="3E7734B0" w:rsidR="0027045B" w:rsidRPr="0027045B" w:rsidRDefault="0027045B">
            <w:pPr>
              <w:ind w:left="-108" w:firstLine="0"/>
              <w:jc w:val="left"/>
              <w:rPr>
                <w:rFonts w:ascii="Arial Narrow" w:eastAsia="Arial Narrow" w:hAnsi="Arial Narrow" w:cs="Arial Narrow"/>
                <w:sz w:val="18"/>
                <w:szCs w:val="18"/>
              </w:rPr>
            </w:pPr>
            <w:r w:rsidRPr="0027045B">
              <w:rPr>
                <w:rFonts w:ascii="Arial Narrow" w:eastAsia="Arial Narrow" w:hAnsi="Arial Narrow" w:cs="Arial Narrow"/>
                <w:sz w:val="18"/>
                <w:szCs w:val="18"/>
              </w:rPr>
              <w:t>Critical Review</w:t>
            </w:r>
          </w:p>
          <w:p w14:paraId="00CE05E0" w14:textId="00815B85" w:rsidR="0027045B" w:rsidRPr="0027045B" w:rsidRDefault="0027045B">
            <w:pPr>
              <w:ind w:left="-108" w:firstLine="0"/>
              <w:jc w:val="left"/>
              <w:rPr>
                <w:rFonts w:ascii="Arial Narrow" w:eastAsia="Arial Narrow" w:hAnsi="Arial Narrow" w:cs="Arial Narrow"/>
                <w:sz w:val="18"/>
                <w:szCs w:val="18"/>
              </w:rPr>
            </w:pPr>
          </w:p>
          <w:p w14:paraId="7AC41313" w14:textId="77777777" w:rsidR="0027045B" w:rsidRPr="0027045B" w:rsidRDefault="0027045B">
            <w:pPr>
              <w:ind w:left="-108" w:firstLine="0"/>
              <w:jc w:val="left"/>
              <w:rPr>
                <w:rFonts w:ascii="Arial Narrow" w:eastAsia="Arial Narrow" w:hAnsi="Arial Narrow" w:cs="Arial Narrow"/>
                <w:sz w:val="18"/>
                <w:szCs w:val="18"/>
              </w:rPr>
            </w:pPr>
          </w:p>
          <w:p w14:paraId="4F1CC2A7" w14:textId="77777777" w:rsidR="0027045B" w:rsidRPr="0027045B" w:rsidRDefault="0027045B">
            <w:pPr>
              <w:ind w:left="-108" w:firstLine="0"/>
              <w:jc w:val="left"/>
              <w:rPr>
                <w:rFonts w:ascii="Arial Narrow" w:eastAsia="Arial Narrow" w:hAnsi="Arial Narrow" w:cs="Arial Narrow"/>
                <w:sz w:val="18"/>
                <w:szCs w:val="18"/>
              </w:rPr>
            </w:pPr>
          </w:p>
        </w:tc>
        <w:tc>
          <w:tcPr>
            <w:tcW w:w="5528" w:type="dxa"/>
            <w:tcBorders>
              <w:bottom w:val="thinThickSmallGap" w:sz="24" w:space="0" w:color="000000"/>
            </w:tcBorders>
            <w:shd w:val="clear" w:color="auto" w:fill="8DB3E2"/>
          </w:tcPr>
          <w:p w14:paraId="1D6464B3" w14:textId="7D846D9B" w:rsidR="0027045B" w:rsidRPr="0027045B" w:rsidRDefault="0027045B">
            <w:pPr>
              <w:ind w:left="-108" w:firstLine="0"/>
              <w:rPr>
                <w:rFonts w:ascii="Arial Narrow" w:eastAsia="Arial Narrow" w:hAnsi="Arial Narrow" w:cs="Arial Narrow"/>
                <w:sz w:val="18"/>
                <w:szCs w:val="18"/>
              </w:rPr>
            </w:pPr>
            <w:r w:rsidRPr="0027045B">
              <w:rPr>
                <w:rFonts w:ascii="Arial Narrow" w:eastAsia="Arial Narrow" w:hAnsi="Arial Narrow" w:cs="Arial Narrow"/>
                <w:sz w:val="18"/>
                <w:szCs w:val="18"/>
                <w:lang w:val="en-US"/>
              </w:rPr>
              <w:t xml:space="preserve">This article examined organizational culture in public sector development by conceptualizing it as a dynamic change process rather than a static supporting variable. Growing demands for performance, accountability, and service quality required public sector organizations to develop adaptive and innovative internal capacities. Although previous studies recognized organizational culture as an influential factor, it was largely discussed descriptively and insufficiently connected to innovation and transformation processes. This study adopted a qualitative approach through a critical literature review of scholarly publications from 2021 to 2025, drawn from national and international journals indexed in Google Scholar, Scopus, and accredited SINTA databases. A critical thematic analysis was applied to identify dominant conceptual patterns, analytical gaps, and limitations in existing research. The findings showed that organizational culture significantly shaped public sector performance, adaptability, and innovation capacity, yet remained </w:t>
            </w:r>
            <w:proofErr w:type="spellStart"/>
            <w:r w:rsidRPr="0027045B">
              <w:rPr>
                <w:rFonts w:ascii="Arial Narrow" w:eastAsia="Arial Narrow" w:hAnsi="Arial Narrow" w:cs="Arial Narrow"/>
                <w:sz w:val="18"/>
                <w:szCs w:val="18"/>
                <w:lang w:val="en-US"/>
              </w:rPr>
              <w:t>underconceptualized</w:t>
            </w:r>
            <w:proofErr w:type="spellEnd"/>
            <w:r w:rsidRPr="0027045B">
              <w:rPr>
                <w:rFonts w:ascii="Arial Narrow" w:eastAsia="Arial Narrow" w:hAnsi="Arial Narrow" w:cs="Arial Narrow"/>
                <w:sz w:val="18"/>
                <w:szCs w:val="18"/>
                <w:lang w:val="en-US"/>
              </w:rPr>
              <w:t xml:space="preserve"> as an embedded and evolving mechanism of organizational change. Most studies did not adequately link cultural dynamics with sustained innovative practices. This article contributed conceptually by reframing organizational culture as a dynamic change process mediating innovation and long-term public sector development, while proposing a more integrative analytical perspective to advance future research and policy-oriented discussions on sustainable public sector innovation.</w:t>
            </w:r>
          </w:p>
        </w:tc>
      </w:tr>
    </w:tbl>
    <w:p w14:paraId="26D7D814" w14:textId="77777777" w:rsidR="007E0982" w:rsidRPr="0027045B" w:rsidRDefault="007E0982">
      <w:pPr>
        <w:ind w:left="0" w:firstLine="0"/>
        <w:rPr>
          <w:rFonts w:ascii="Arial Narrow" w:eastAsia="Arial Narrow" w:hAnsi="Arial Narrow" w:cs="Arial Narrow"/>
        </w:rPr>
      </w:pPr>
    </w:p>
    <w:p w14:paraId="41892BB7" w14:textId="77777777" w:rsidR="007E0982" w:rsidRPr="0027045B" w:rsidRDefault="00D60A14">
      <w:pPr>
        <w:ind w:left="0" w:firstLine="0"/>
        <w:rPr>
          <w:rFonts w:ascii="Arial Narrow" w:eastAsia="Arial Narrow" w:hAnsi="Arial Narrow" w:cs="Arial Narrow"/>
          <w:b/>
        </w:rPr>
      </w:pPr>
      <w:r w:rsidRPr="0027045B">
        <w:rPr>
          <w:rFonts w:ascii="Arial Narrow" w:eastAsia="Arial Narrow" w:hAnsi="Arial Narrow" w:cs="Arial Narrow"/>
          <w:b/>
        </w:rPr>
        <w:t>PENDAHULUAN</w:t>
      </w:r>
    </w:p>
    <w:p w14:paraId="21CAC8D0" w14:textId="77777777" w:rsidR="0043744B"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pada era </w:t>
      </w:r>
      <w:proofErr w:type="spellStart"/>
      <w:r w:rsidRPr="0027045B">
        <w:rPr>
          <w:rFonts w:ascii="Arial Narrow" w:eastAsia="Arial Narrow" w:hAnsi="Arial Narrow" w:cs="Arial Narrow"/>
          <w:lang w:val="en-ID"/>
        </w:rPr>
        <w:t>reformasi</w:t>
      </w:r>
      <w:proofErr w:type="spellEnd"/>
      <w:r w:rsidRPr="0027045B">
        <w:rPr>
          <w:rFonts w:ascii="Arial Narrow" w:eastAsia="Arial Narrow" w:hAnsi="Arial Narrow" w:cs="Arial Narrow"/>
          <w:lang w:val="en-ID"/>
        </w:rPr>
        <w:t xml:space="preserve"> tata </w:t>
      </w:r>
      <w:proofErr w:type="spellStart"/>
      <w:r w:rsidRPr="0027045B">
        <w:rPr>
          <w:rFonts w:ascii="Arial Narrow" w:eastAsia="Arial Narrow" w:hAnsi="Arial Narrow" w:cs="Arial Narrow"/>
          <w:lang w:val="en-ID"/>
        </w:rPr>
        <w:t>kelola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ditandai</w:t>
      </w:r>
      <w:proofErr w:type="spellEnd"/>
      <w:r w:rsidRPr="0027045B">
        <w:rPr>
          <w:rFonts w:ascii="Arial Narrow" w:eastAsia="Arial Narrow" w:hAnsi="Arial Narrow" w:cs="Arial Narrow"/>
          <w:lang w:val="en-ID"/>
        </w:rPr>
        <w:t xml:space="preserve"> oleh </w:t>
      </w:r>
      <w:proofErr w:type="spellStart"/>
      <w:r w:rsidRPr="0027045B">
        <w:rPr>
          <w:rFonts w:ascii="Arial Narrow" w:eastAsia="Arial Narrow" w:hAnsi="Arial Narrow" w:cs="Arial Narrow"/>
          <w:lang w:val="en-ID"/>
        </w:rPr>
        <w:t>meningkatnya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tuntutan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akuntabilitas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transparansi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Pemerintah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tidak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cukup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berorientasi</w:t>
      </w:r>
      <w:proofErr w:type="spellEnd"/>
      <w:r w:rsidRPr="0027045B">
        <w:rPr>
          <w:rFonts w:ascii="Arial Narrow" w:eastAsia="Arial Narrow" w:hAnsi="Arial Narrow" w:cs="Arial Narrow"/>
          <w:lang w:val="en-ID"/>
        </w:rPr>
        <w:t xml:space="preserve"> pada </w:t>
      </w:r>
      <w:proofErr w:type="spellStart"/>
      <w:r w:rsidRPr="0027045B">
        <w:rPr>
          <w:rFonts w:ascii="Arial Narrow" w:eastAsia="Arial Narrow" w:hAnsi="Arial Narrow" w:cs="Arial Narrow"/>
          <w:lang w:val="en-ID"/>
        </w:rPr>
        <w:t>kepatuhan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prosedural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tetapi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dituntut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memiliki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kapasitas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merespons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lingkungan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strategis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kebutuhan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masyarakat</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semakin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kompleks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Faktor</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khususnya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menjadi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elemen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penting</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memengaruhi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efektivitas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penyelenggaraan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pemerintahan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Santosa</w:t>
      </w:r>
      <w:proofErr w:type="spellEnd"/>
      <w:r w:rsidRPr="0027045B">
        <w:rPr>
          <w:rFonts w:ascii="Arial Narrow" w:eastAsia="Arial Narrow" w:hAnsi="Arial Narrow" w:cs="Arial Narrow"/>
          <w:lang w:val="en-ID"/>
        </w:rPr>
        <w:t>, 2023).</w:t>
      </w:r>
    </w:p>
    <w:p w14:paraId="7B869259" w14:textId="77777777" w:rsidR="0043744B"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merefleksikan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norma</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perilaku</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membentuk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aparatur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berpikir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bertindak</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mengambil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keputusan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Sejumlah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keterkaitan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erat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kepuasan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aparatur</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Agiwahyuanto</w:t>
      </w:r>
      <w:proofErr w:type="spellEnd"/>
      <w:r w:rsidRPr="0027045B">
        <w:rPr>
          <w:rFonts w:ascii="Arial Narrow" w:eastAsia="Arial Narrow" w:hAnsi="Arial Narrow" w:cs="Arial Narrow"/>
          <w:lang w:val="en-ID"/>
        </w:rPr>
        <w:t xml:space="preserve"> et al. (2021) </w:t>
      </w:r>
      <w:proofErr w:type="spellStart"/>
      <w:r w:rsidRPr="0027045B">
        <w:rPr>
          <w:rFonts w:ascii="Arial Narrow" w:eastAsia="Arial Narrow" w:hAnsi="Arial Narrow" w:cs="Arial Narrow"/>
          <w:lang w:val="en-ID"/>
        </w:rPr>
        <w:t>menegaskan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meningkatkan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kepuasan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karyawan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sementara</w:t>
      </w:r>
      <w:proofErr w:type="spellEnd"/>
      <w:r w:rsidRPr="0027045B">
        <w:rPr>
          <w:rFonts w:ascii="Arial Narrow" w:eastAsia="Arial Narrow" w:hAnsi="Arial Narrow" w:cs="Arial Narrow"/>
          <w:lang w:val="en-ID"/>
        </w:rPr>
        <w:t xml:space="preserve"> Anning-Dorson (2021) </w:t>
      </w:r>
      <w:proofErr w:type="spellStart"/>
      <w:r w:rsidRPr="0027045B">
        <w:rPr>
          <w:rFonts w:ascii="Arial Narrow" w:eastAsia="Arial Narrow" w:hAnsi="Arial Narrow" w:cs="Arial Narrow"/>
          <w:lang w:val="en-ID"/>
        </w:rPr>
        <w:lastRenderedPageBreak/>
        <w:t>memposisikan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sumber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daya</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strategis</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membentuk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kapasitas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fleksibilitas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w:t>
      </w:r>
    </w:p>
    <w:p w14:paraId="74A968C6" w14:textId="6E9C462B" w:rsidR="0043744B" w:rsidRPr="0027045B" w:rsidRDefault="00035C62" w:rsidP="0043744B">
      <w:pPr>
        <w:ind w:left="0" w:firstLine="709"/>
        <w:rPr>
          <w:rFonts w:ascii="Arial Narrow" w:eastAsia="Arial Narrow" w:hAnsi="Arial Narrow" w:cs="Arial Narrow"/>
          <w:lang w:val="en-ID"/>
        </w:rPr>
      </w:pPr>
      <w:r w:rsidRPr="0027045B">
        <w:rPr>
          <w:rFonts w:ascii="Arial Narrow" w:eastAsia="Arial Narrow" w:hAnsi="Arial Narrow" w:cs="Arial Narrow"/>
        </w:rPr>
        <w:t>Seiring meningkatnya tuntutan inovasi, praktik organisasi yang inovatif berfungsi sebagai mekanisme strategis dalam mendorong perubahan dan peningkatan kinerja sektor publik. Inovasi organisasi tidak semata-mata dipahami sebagai adopsi teknologi, melainkan mencakup transformasi cara kerja, penguatan sistem pembelajaran organisasi, serta pengembangan pola kolaborasi internal yang berkelanjutan. Aman dan Yusof (2022) menunjukkan bahwa budaya berbagi pengetahuan merupakan prasyarat penting bagi efektivitas sistem manajemen pengetahuan, sementara Mattos et al. (2022) menegaskan bahwa praktik inovatif berbasis pembelajaran reflektif dan evaluasi berkelanjutan memperkuat kapasitas adaptif organisasi. Temuan ini menegaskan bahwa inovasi organisasi beroperasi melalui mekanisme kultural yang memungkinkan organisasi publik merespons perubahan secara lebih fleksibel dan berkelanjutan.</w:t>
      </w:r>
    </w:p>
    <w:p w14:paraId="22256B4B" w14:textId="77777777" w:rsidR="0043744B"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Namun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demikian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kerap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diperlakukan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variabel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pendukung</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bersifat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statis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dinamis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terinternalisasi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Jarrar</w:t>
      </w:r>
      <w:proofErr w:type="spellEnd"/>
      <w:r w:rsidRPr="0027045B">
        <w:rPr>
          <w:rFonts w:ascii="Arial Narrow" w:eastAsia="Arial Narrow" w:hAnsi="Arial Narrow" w:cs="Arial Narrow"/>
          <w:lang w:val="en-ID"/>
        </w:rPr>
        <w:t xml:space="preserve"> dan Ibrahim (2021) </w:t>
      </w:r>
      <w:proofErr w:type="spellStart"/>
      <w:r w:rsidRPr="0027045B">
        <w:rPr>
          <w:rFonts w:ascii="Arial Narrow" w:eastAsia="Arial Narrow" w:hAnsi="Arial Narrow" w:cs="Arial Narrow"/>
          <w:lang w:val="en-ID"/>
        </w:rPr>
        <w:t>membatasi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pembahasan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pada </w:t>
      </w:r>
      <w:proofErr w:type="spellStart"/>
      <w:r w:rsidRPr="0027045B">
        <w:rPr>
          <w:rFonts w:ascii="Arial Narrow" w:eastAsia="Arial Narrow" w:hAnsi="Arial Narrow" w:cs="Arial Narrow"/>
          <w:lang w:val="en-ID"/>
        </w:rPr>
        <w:t>dimensi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iklim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etika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tanpa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mengaitkannya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sementara</w:t>
      </w:r>
      <w:proofErr w:type="spellEnd"/>
      <w:r w:rsidRPr="0027045B">
        <w:rPr>
          <w:rFonts w:ascii="Arial Narrow" w:eastAsia="Arial Narrow" w:hAnsi="Arial Narrow" w:cs="Arial Narrow"/>
          <w:lang w:val="en-ID"/>
        </w:rPr>
        <w:t xml:space="preserve"> Chan et al. (2023)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defensif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berpotensi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menghambat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manajerial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Meskipun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beberapa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menyoroti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inklusif</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mekanisme</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pembelajaran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(Saleh, 2021; Smith et al., 2024), </w:t>
      </w:r>
      <w:proofErr w:type="spellStart"/>
      <w:r w:rsidRPr="0027045B">
        <w:rPr>
          <w:rFonts w:ascii="Arial Narrow" w:eastAsia="Arial Narrow" w:hAnsi="Arial Narrow" w:cs="Arial Narrow"/>
          <w:lang w:val="en-ID"/>
        </w:rPr>
        <w:t>integrasi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belum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terbangun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konseptual</w:t>
      </w:r>
      <w:proofErr w:type="spellEnd"/>
      <w:r w:rsidRPr="0027045B">
        <w:rPr>
          <w:rFonts w:ascii="Arial Narrow" w:eastAsia="Arial Narrow" w:hAnsi="Arial Narrow" w:cs="Arial Narrow"/>
          <w:lang w:val="en-ID"/>
        </w:rPr>
        <w:t>.</w:t>
      </w:r>
    </w:p>
    <w:p w14:paraId="25F0C616" w14:textId="77411134" w:rsidR="007E0982"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Berdasarkan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celah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tersebut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artikel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bertujuan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mengkaji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kritis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menggunakan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critical literature review</w:t>
      </w:r>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periode</w:t>
      </w:r>
      <w:proofErr w:type="spellEnd"/>
      <w:r w:rsidRPr="0027045B">
        <w:rPr>
          <w:rFonts w:ascii="Arial Narrow" w:eastAsia="Arial Narrow" w:hAnsi="Arial Narrow" w:cs="Arial Narrow"/>
          <w:lang w:val="en-ID"/>
        </w:rPr>
        <w:t xml:space="preserve"> 2021–2025, </w:t>
      </w:r>
      <w:proofErr w:type="spellStart"/>
      <w:r w:rsidRPr="0027045B">
        <w:rPr>
          <w:rFonts w:ascii="Arial Narrow" w:eastAsia="Arial Narrow" w:hAnsi="Arial Narrow" w:cs="Arial Narrow"/>
          <w:lang w:val="en-ID"/>
        </w:rPr>
        <w:t>artikel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berkontribusi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teoretis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mereposisi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dynamic change process</w:t>
      </w:r>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memediasi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pembangunan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sekaligus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menawarkan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kerangka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analitis</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lebih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holistik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memperkuat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diskursus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akademik</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implikasi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(Farrukh &amp; Sajjad, 2023; </w:t>
      </w:r>
      <w:proofErr w:type="spellStart"/>
      <w:r w:rsidRPr="0027045B">
        <w:rPr>
          <w:rFonts w:ascii="Arial Narrow" w:eastAsia="Arial Narrow" w:hAnsi="Arial Narrow" w:cs="Arial Narrow"/>
          <w:lang w:val="en-ID"/>
        </w:rPr>
        <w:t>Benamraoui</w:t>
      </w:r>
      <w:proofErr w:type="spellEnd"/>
      <w:r w:rsidRPr="0027045B">
        <w:rPr>
          <w:rFonts w:ascii="Arial Narrow" w:eastAsia="Arial Narrow" w:hAnsi="Arial Narrow" w:cs="Arial Narrow"/>
          <w:lang w:val="en-ID"/>
        </w:rPr>
        <w:t xml:space="preserve"> et al., 2024; </w:t>
      </w:r>
      <w:proofErr w:type="spellStart"/>
      <w:r w:rsidRPr="0027045B">
        <w:rPr>
          <w:rFonts w:ascii="Arial Narrow" w:eastAsia="Arial Narrow" w:hAnsi="Arial Narrow" w:cs="Arial Narrow"/>
          <w:lang w:val="en-ID"/>
        </w:rPr>
        <w:t>Lechuga</w:t>
      </w:r>
      <w:proofErr w:type="spellEnd"/>
      <w:r w:rsidRPr="0027045B">
        <w:rPr>
          <w:rFonts w:ascii="Arial Narrow" w:eastAsia="Arial Narrow" w:hAnsi="Arial Narrow" w:cs="Arial Narrow"/>
          <w:lang w:val="en-ID"/>
        </w:rPr>
        <w:t xml:space="preserve"> &amp; Aswad, 2024).</w:t>
      </w:r>
    </w:p>
    <w:p w14:paraId="20EC02C0" w14:textId="77777777" w:rsidR="007E0982" w:rsidRPr="0027045B" w:rsidRDefault="007E0982">
      <w:pPr>
        <w:ind w:left="0" w:firstLine="0"/>
        <w:rPr>
          <w:rFonts w:ascii="Arial Narrow" w:eastAsia="Arial Narrow" w:hAnsi="Arial Narrow" w:cs="Arial Narrow"/>
          <w:i/>
        </w:rPr>
      </w:pPr>
    </w:p>
    <w:p w14:paraId="1932418A" w14:textId="77777777" w:rsidR="007E0982" w:rsidRPr="0027045B" w:rsidRDefault="00D60A14">
      <w:pPr>
        <w:ind w:left="0" w:firstLine="0"/>
        <w:rPr>
          <w:rFonts w:ascii="Arial Narrow" w:eastAsia="Arial Narrow" w:hAnsi="Arial Narrow" w:cs="Arial Narrow"/>
          <w:b/>
        </w:rPr>
      </w:pPr>
      <w:r w:rsidRPr="0027045B">
        <w:rPr>
          <w:rFonts w:ascii="Arial Narrow" w:eastAsia="Arial Narrow" w:hAnsi="Arial Narrow" w:cs="Arial Narrow"/>
          <w:b/>
        </w:rPr>
        <w:t>METODE</w:t>
      </w:r>
    </w:p>
    <w:p w14:paraId="1E9B47F4" w14:textId="77777777" w:rsidR="0043744B"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mengkaji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memposisikannya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dynamic change process</w:t>
      </w:r>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memediasi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jangka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panjang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mencapai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tujuan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tersebut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menggunakan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berbasis</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critical literature review</w:t>
      </w:r>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guna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menelaah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kritis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bagaimana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dipahami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dianalisis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diintegrasikan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Ragul</w:t>
      </w:r>
      <w:proofErr w:type="spellEnd"/>
      <w:r w:rsidRPr="0027045B">
        <w:rPr>
          <w:rFonts w:ascii="Arial Narrow" w:eastAsia="Arial Narrow" w:hAnsi="Arial Narrow" w:cs="Arial Narrow"/>
          <w:lang w:val="en-ID"/>
        </w:rPr>
        <w:t>, 2021; Farrukh &amp; Sajjad, 2023).</w:t>
      </w:r>
    </w:p>
    <w:p w14:paraId="4624242C" w14:textId="77777777" w:rsidR="0043744B" w:rsidRPr="0027045B" w:rsidRDefault="0043744B" w:rsidP="0043744B">
      <w:pPr>
        <w:ind w:left="0" w:firstLine="709"/>
        <w:rPr>
          <w:rFonts w:ascii="Arial Narrow" w:eastAsia="Arial Narrow" w:hAnsi="Arial Narrow" w:cs="Arial Narrow"/>
          <w:lang w:val="en-ID"/>
        </w:rPr>
      </w:pPr>
      <w:r w:rsidRPr="0027045B">
        <w:rPr>
          <w:rFonts w:ascii="Arial Narrow" w:eastAsia="Arial Narrow" w:hAnsi="Arial Narrow" w:cs="Arial Narrow"/>
          <w:lang w:val="en-ID"/>
        </w:rPr>
        <w:t xml:space="preserve">Data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bersumber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dari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artikel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jurnal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nasional</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internasional</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dipublikasikan</w:t>
      </w:r>
      <w:proofErr w:type="spellEnd"/>
      <w:r w:rsidRPr="0027045B">
        <w:rPr>
          <w:rFonts w:ascii="Arial Narrow" w:eastAsia="Arial Narrow" w:hAnsi="Arial Narrow" w:cs="Arial Narrow"/>
          <w:lang w:val="en-ID"/>
        </w:rPr>
        <w:t xml:space="preserve"> pada </w:t>
      </w:r>
      <w:proofErr w:type="spellStart"/>
      <w:r w:rsidRPr="0027045B">
        <w:rPr>
          <w:rFonts w:ascii="Arial Narrow" w:eastAsia="Arial Narrow" w:hAnsi="Arial Narrow" w:cs="Arial Narrow"/>
          <w:lang w:val="en-ID"/>
        </w:rPr>
        <w:t>periode</w:t>
      </w:r>
      <w:proofErr w:type="spellEnd"/>
      <w:r w:rsidRPr="0027045B">
        <w:rPr>
          <w:rFonts w:ascii="Arial Narrow" w:eastAsia="Arial Narrow" w:hAnsi="Arial Narrow" w:cs="Arial Narrow"/>
          <w:lang w:val="en-ID"/>
        </w:rPr>
        <w:t xml:space="preserve"> 2021–2025 dan </w:t>
      </w:r>
      <w:proofErr w:type="spellStart"/>
      <w:r w:rsidRPr="0027045B">
        <w:rPr>
          <w:rFonts w:ascii="Arial Narrow" w:eastAsia="Arial Narrow" w:hAnsi="Arial Narrow" w:cs="Arial Narrow"/>
          <w:lang w:val="en-ID"/>
        </w:rPr>
        <w:t>diakses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Google Scholar, Scopus,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jurnal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nasional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terakreditasi</w:t>
      </w:r>
      <w:proofErr w:type="spellEnd"/>
      <w:r w:rsidRPr="0027045B">
        <w:rPr>
          <w:rFonts w:ascii="Arial Narrow" w:eastAsia="Arial Narrow" w:hAnsi="Arial Narrow" w:cs="Arial Narrow"/>
          <w:lang w:val="en-ID"/>
        </w:rPr>
        <w:t xml:space="preserve"> SINTA.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dipilih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berdasarkan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relevansi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tematik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ketajaman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analisis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kontribusi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konseptual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pembahasan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sehingga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memungkinkan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identifikasi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dominan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keterbatasan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konseptual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studi-studi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sebelumnya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Benamraoui</w:t>
      </w:r>
      <w:proofErr w:type="spellEnd"/>
      <w:r w:rsidRPr="0027045B">
        <w:rPr>
          <w:rFonts w:ascii="Arial Narrow" w:eastAsia="Arial Narrow" w:hAnsi="Arial Narrow" w:cs="Arial Narrow"/>
          <w:lang w:val="en-ID"/>
        </w:rPr>
        <w:t xml:space="preserve"> et al., 2024; Sullivan et al., 2024; </w:t>
      </w:r>
      <w:proofErr w:type="spellStart"/>
      <w:r w:rsidRPr="0027045B">
        <w:rPr>
          <w:rFonts w:ascii="Arial Narrow" w:eastAsia="Arial Narrow" w:hAnsi="Arial Narrow" w:cs="Arial Narrow"/>
          <w:lang w:val="en-ID"/>
        </w:rPr>
        <w:t>Kagan</w:t>
      </w:r>
      <w:proofErr w:type="spellEnd"/>
      <w:r w:rsidRPr="0027045B">
        <w:rPr>
          <w:rFonts w:ascii="Arial Narrow" w:eastAsia="Arial Narrow" w:hAnsi="Arial Narrow" w:cs="Arial Narrow"/>
          <w:lang w:val="en-ID"/>
        </w:rPr>
        <w:t xml:space="preserve"> &amp; Dodge, 2025).</w:t>
      </w:r>
    </w:p>
    <w:p w14:paraId="6F527353" w14:textId="010B2025" w:rsidR="009402FE" w:rsidRPr="0027045B" w:rsidRDefault="0043744B" w:rsidP="0043744B">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Analisis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dilakukan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critical thematic analysis</w:t>
      </w:r>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menelusuri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tema-tema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utama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membandingkan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konstruksi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konseptual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menyintesis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argumen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mengungkap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kesenjangan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digunakan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mengevaluasi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sejauh</w:t>
      </w:r>
      <w:proofErr w:type="spellEnd"/>
      <w:r w:rsidRPr="0027045B">
        <w:rPr>
          <w:rFonts w:ascii="Arial Narrow" w:eastAsia="Arial Narrow" w:hAnsi="Arial Narrow" w:cs="Arial Narrow"/>
          <w:lang w:val="en-ID"/>
        </w:rPr>
        <w:t xml:space="preserve"> mana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diperlakukan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mekanisme</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terinternalisasi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merumuskan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perspektif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analitis</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lebih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integratif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Lechuga</w:t>
      </w:r>
      <w:proofErr w:type="spellEnd"/>
      <w:r w:rsidRPr="0027045B">
        <w:rPr>
          <w:rFonts w:ascii="Arial Narrow" w:eastAsia="Arial Narrow" w:hAnsi="Arial Narrow" w:cs="Arial Narrow"/>
          <w:lang w:val="en-ID"/>
        </w:rPr>
        <w:t xml:space="preserve"> &amp; Aswad, 2024).</w:t>
      </w:r>
    </w:p>
    <w:p w14:paraId="1E2BE4FB" w14:textId="77777777" w:rsidR="007E0982" w:rsidRPr="0027045B" w:rsidRDefault="007E0982">
      <w:pPr>
        <w:ind w:left="0" w:firstLine="0"/>
        <w:rPr>
          <w:rFonts w:ascii="Arial Narrow" w:eastAsia="Arial Narrow" w:hAnsi="Arial Narrow" w:cs="Arial Narrow"/>
          <w:i/>
        </w:rPr>
      </w:pPr>
    </w:p>
    <w:p w14:paraId="14FC4628" w14:textId="77777777" w:rsidR="007E0982" w:rsidRPr="0027045B" w:rsidRDefault="00D60A14">
      <w:pPr>
        <w:ind w:left="0" w:firstLine="0"/>
        <w:rPr>
          <w:rFonts w:ascii="Arial Narrow" w:eastAsia="Arial Narrow" w:hAnsi="Arial Narrow" w:cs="Arial Narrow"/>
          <w:b/>
        </w:rPr>
      </w:pPr>
      <w:r w:rsidRPr="0027045B">
        <w:rPr>
          <w:rFonts w:ascii="Arial Narrow" w:eastAsia="Arial Narrow" w:hAnsi="Arial Narrow" w:cs="Arial Narrow"/>
          <w:b/>
        </w:rPr>
        <w:t>HASIL DAN PEMBAHASAN</w:t>
      </w:r>
    </w:p>
    <w:p w14:paraId="2D1C1F42" w14:textId="77777777" w:rsidR="007E0982" w:rsidRPr="0027045B" w:rsidRDefault="00D60A14">
      <w:pPr>
        <w:ind w:left="0" w:firstLine="0"/>
        <w:rPr>
          <w:rFonts w:ascii="Arial Narrow" w:eastAsia="Arial Narrow" w:hAnsi="Arial Narrow" w:cs="Arial Narrow"/>
          <w:i/>
        </w:rPr>
      </w:pPr>
      <w:r w:rsidRPr="0027045B">
        <w:rPr>
          <w:rFonts w:ascii="Arial Narrow" w:eastAsia="Arial Narrow" w:hAnsi="Arial Narrow" w:cs="Arial Narrow"/>
          <w:b/>
          <w:i/>
        </w:rPr>
        <w:t>Hasil</w:t>
      </w:r>
    </w:p>
    <w:p w14:paraId="2AE7FFB1" w14:textId="34C321ED" w:rsidR="00B12E30" w:rsidRPr="0027045B" w:rsidRDefault="007E615A" w:rsidP="00B12E30">
      <w:pPr>
        <w:ind w:left="0" w:firstLine="709"/>
        <w:rPr>
          <w:rFonts w:ascii="Arial Narrow" w:eastAsia="Arial Narrow" w:hAnsi="Arial Narrow" w:cs="Arial Narrow"/>
          <w:lang w:val="en-ID"/>
        </w:rPr>
      </w:pPr>
      <w:r w:rsidRPr="0027045B">
        <w:rPr>
          <w:rFonts w:ascii="Arial Narrow" w:eastAsia="Arial Narrow" w:hAnsi="Arial Narrow" w:cs="Arial Narrow"/>
        </w:rPr>
        <w:lastRenderedPageBreak/>
        <w:t xml:space="preserve">Bagian hasil menyajikan ringkasan temuan empiris dari penelitian terdahulu yang direview sebagaimana dirangkum dalam </w:t>
      </w:r>
      <w:r w:rsidRPr="0027045B">
        <w:rPr>
          <w:rFonts w:ascii="Arial Narrow" w:eastAsia="Arial Narrow" w:hAnsi="Arial Narrow" w:cs="Arial Narrow"/>
          <w:b/>
          <w:bCs/>
        </w:rPr>
        <w:t>Tabel 1.</w:t>
      </w:r>
      <w:r w:rsidRPr="0027045B">
        <w:rPr>
          <w:rFonts w:ascii="Arial Narrow" w:eastAsia="Arial Narrow" w:hAnsi="Arial Narrow" w:cs="Arial Narrow"/>
        </w:rPr>
        <w:t xml:space="preserve"> Penyajian hasil didasarkan pada fokus kajian, metode penelitian, dan temuan utama masing-masing studi, tanpa interpretasi atau penilaian kritis dari penulis.</w:t>
      </w:r>
    </w:p>
    <w:p w14:paraId="3F93D550" w14:textId="77777777" w:rsidR="00744A72" w:rsidRPr="0027045B" w:rsidRDefault="00744A72" w:rsidP="00971C27">
      <w:pPr>
        <w:ind w:left="0" w:firstLine="0"/>
        <w:rPr>
          <w:rFonts w:ascii="Arial Narrow" w:eastAsia="Arial Narrow" w:hAnsi="Arial Narrow" w:cs="Arial Narrow"/>
          <w:b/>
          <w:iCs/>
          <w:lang w:val="en-US"/>
        </w:rPr>
      </w:pPr>
    </w:p>
    <w:p w14:paraId="6CF3933A" w14:textId="025052E2" w:rsidR="00744A72" w:rsidRPr="0027045B" w:rsidRDefault="00744A72" w:rsidP="00744A72">
      <w:pPr>
        <w:ind w:left="0" w:firstLine="0"/>
        <w:jc w:val="center"/>
        <w:rPr>
          <w:rFonts w:ascii="Arial Narrow" w:eastAsia="Arial Narrow" w:hAnsi="Arial Narrow" w:cs="Arial Narrow"/>
          <w:sz w:val="20"/>
          <w:szCs w:val="20"/>
          <w:lang w:val="en-US"/>
        </w:rPr>
      </w:pPr>
      <w:r w:rsidRPr="0027045B">
        <w:rPr>
          <w:rFonts w:ascii="Arial Narrow" w:eastAsia="Arial Narrow" w:hAnsi="Arial Narrow" w:cs="Arial Narrow"/>
          <w:b/>
          <w:iCs/>
          <w:sz w:val="20"/>
          <w:szCs w:val="20"/>
        </w:rPr>
        <w:t xml:space="preserve">Tabel 1. </w:t>
      </w:r>
      <w:r w:rsidRPr="0027045B">
        <w:rPr>
          <w:rFonts w:ascii="Arial Narrow" w:eastAsia="Arial Narrow" w:hAnsi="Arial Narrow" w:cs="Arial Narrow"/>
          <w:bCs/>
          <w:iCs/>
          <w:sz w:val="20"/>
          <w:szCs w:val="20"/>
        </w:rPr>
        <w:t>Ringkasan Penelitian Terdahulu yang Direview</w:t>
      </w:r>
    </w:p>
    <w:tbl>
      <w:tblPr>
        <w:tblStyle w:val="TableGrid"/>
        <w:tblW w:w="76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533"/>
        <w:gridCol w:w="1559"/>
        <w:gridCol w:w="1701"/>
        <w:gridCol w:w="2415"/>
      </w:tblGrid>
      <w:tr w:rsidR="0027045B" w:rsidRPr="0027045B" w14:paraId="0450BF36" w14:textId="77777777" w:rsidTr="001C5C55">
        <w:tc>
          <w:tcPr>
            <w:tcW w:w="447" w:type="dxa"/>
            <w:tcBorders>
              <w:top w:val="single" w:sz="4" w:space="0" w:color="auto"/>
              <w:bottom w:val="single" w:sz="4" w:space="0" w:color="auto"/>
            </w:tcBorders>
            <w:vAlign w:val="center"/>
          </w:tcPr>
          <w:p w14:paraId="0591E772" w14:textId="77777777" w:rsidR="00790DB0" w:rsidRPr="0027045B" w:rsidRDefault="00790DB0" w:rsidP="00744A72">
            <w:pPr>
              <w:ind w:left="0" w:firstLine="0"/>
              <w:jc w:val="center"/>
              <w:rPr>
                <w:rFonts w:ascii="Arial Narrow" w:eastAsia="Arial Narrow" w:hAnsi="Arial Narrow" w:cs="Arial Narrow"/>
                <w:b/>
                <w:sz w:val="20"/>
                <w:szCs w:val="20"/>
                <w:lang w:val="en-ID"/>
              </w:rPr>
            </w:pPr>
            <w:r w:rsidRPr="0027045B">
              <w:rPr>
                <w:rFonts w:ascii="Arial Narrow" w:eastAsia="Arial Narrow" w:hAnsi="Arial Narrow" w:cs="Arial Narrow"/>
                <w:b/>
                <w:sz w:val="20"/>
                <w:szCs w:val="20"/>
                <w:lang w:val="en-ID"/>
              </w:rPr>
              <w:t>No</w:t>
            </w:r>
          </w:p>
        </w:tc>
        <w:tc>
          <w:tcPr>
            <w:tcW w:w="1533" w:type="dxa"/>
            <w:tcBorders>
              <w:top w:val="single" w:sz="4" w:space="0" w:color="auto"/>
              <w:bottom w:val="single" w:sz="4" w:space="0" w:color="auto"/>
            </w:tcBorders>
            <w:vAlign w:val="center"/>
          </w:tcPr>
          <w:p w14:paraId="4968B3F7" w14:textId="4B9A24F0" w:rsidR="00790DB0" w:rsidRPr="0027045B" w:rsidRDefault="00790DB0" w:rsidP="00744A72">
            <w:pPr>
              <w:ind w:left="0" w:firstLine="0"/>
              <w:jc w:val="center"/>
              <w:rPr>
                <w:rFonts w:ascii="Arial Narrow" w:eastAsia="Arial Narrow" w:hAnsi="Arial Narrow" w:cs="Arial Narrow"/>
                <w:b/>
                <w:sz w:val="20"/>
                <w:szCs w:val="20"/>
                <w:lang w:val="en-ID"/>
              </w:rPr>
            </w:pPr>
            <w:proofErr w:type="spellStart"/>
            <w:r w:rsidRPr="0027045B">
              <w:rPr>
                <w:rFonts w:ascii="Arial Narrow" w:eastAsia="Arial Narrow" w:hAnsi="Arial Narrow" w:cs="Arial Narrow"/>
                <w:b/>
                <w:sz w:val="20"/>
                <w:szCs w:val="20"/>
                <w:lang w:val="en-ID"/>
              </w:rPr>
              <w:t>Penulis</w:t>
            </w:r>
            <w:proofErr w:type="spellEnd"/>
            <w:r w:rsidRPr="0027045B">
              <w:rPr>
                <w:rFonts w:ascii="Arial Narrow" w:eastAsia="Arial Narrow" w:hAnsi="Arial Narrow" w:cs="Arial Narrow"/>
                <w:b/>
                <w:sz w:val="20"/>
                <w:szCs w:val="20"/>
                <w:lang w:val="en-ID"/>
              </w:rPr>
              <w:t xml:space="preserve"> </w:t>
            </w:r>
          </w:p>
        </w:tc>
        <w:tc>
          <w:tcPr>
            <w:tcW w:w="1559" w:type="dxa"/>
            <w:tcBorders>
              <w:top w:val="single" w:sz="4" w:space="0" w:color="auto"/>
              <w:bottom w:val="single" w:sz="4" w:space="0" w:color="auto"/>
            </w:tcBorders>
            <w:vAlign w:val="center"/>
          </w:tcPr>
          <w:p w14:paraId="50CCE35F" w14:textId="77777777" w:rsidR="00790DB0" w:rsidRPr="0027045B" w:rsidRDefault="00790DB0" w:rsidP="00744A72">
            <w:pPr>
              <w:ind w:left="0" w:firstLine="0"/>
              <w:jc w:val="center"/>
              <w:rPr>
                <w:rFonts w:ascii="Arial Narrow" w:eastAsia="Arial Narrow" w:hAnsi="Arial Narrow" w:cs="Arial Narrow"/>
                <w:b/>
                <w:sz w:val="20"/>
                <w:szCs w:val="20"/>
                <w:lang w:val="en-ID"/>
              </w:rPr>
            </w:pPr>
            <w:proofErr w:type="spellStart"/>
            <w:r w:rsidRPr="0027045B">
              <w:rPr>
                <w:rFonts w:ascii="Arial Narrow" w:eastAsia="Arial Narrow" w:hAnsi="Arial Narrow" w:cs="Arial Narrow"/>
                <w:b/>
                <w:sz w:val="20"/>
                <w:szCs w:val="20"/>
                <w:lang w:val="en-ID"/>
              </w:rPr>
              <w:t>Fokus</w:t>
            </w:r>
            <w:proofErr w:type="spellEnd"/>
            <w:r w:rsidRPr="0027045B">
              <w:rPr>
                <w:rFonts w:ascii="Arial Narrow" w:eastAsia="Arial Narrow" w:hAnsi="Arial Narrow" w:cs="Arial Narrow"/>
                <w:b/>
                <w:sz w:val="20"/>
                <w:szCs w:val="20"/>
                <w:lang w:val="en-ID"/>
              </w:rPr>
              <w:t xml:space="preserve"> </w:t>
            </w:r>
            <w:proofErr w:type="spellStart"/>
            <w:r w:rsidRPr="0027045B">
              <w:rPr>
                <w:rFonts w:ascii="Arial Narrow" w:eastAsia="Arial Narrow" w:hAnsi="Arial Narrow" w:cs="Arial Narrow"/>
                <w:b/>
                <w:sz w:val="20"/>
                <w:szCs w:val="20"/>
                <w:lang w:val="en-ID"/>
              </w:rPr>
              <w:t>Penelitian</w:t>
            </w:r>
            <w:proofErr w:type="spellEnd"/>
          </w:p>
        </w:tc>
        <w:tc>
          <w:tcPr>
            <w:tcW w:w="1701" w:type="dxa"/>
            <w:tcBorders>
              <w:top w:val="single" w:sz="4" w:space="0" w:color="auto"/>
              <w:bottom w:val="single" w:sz="4" w:space="0" w:color="auto"/>
            </w:tcBorders>
            <w:vAlign w:val="center"/>
          </w:tcPr>
          <w:p w14:paraId="5F3B88C7" w14:textId="77777777" w:rsidR="00790DB0" w:rsidRPr="0027045B" w:rsidRDefault="00790DB0" w:rsidP="00744A72">
            <w:pPr>
              <w:ind w:left="0" w:firstLine="0"/>
              <w:jc w:val="center"/>
              <w:rPr>
                <w:rFonts w:ascii="Arial Narrow" w:eastAsia="Arial Narrow" w:hAnsi="Arial Narrow" w:cs="Arial Narrow"/>
                <w:b/>
                <w:sz w:val="20"/>
                <w:szCs w:val="20"/>
                <w:lang w:val="en-ID"/>
              </w:rPr>
            </w:pPr>
            <w:proofErr w:type="spellStart"/>
            <w:r w:rsidRPr="0027045B">
              <w:rPr>
                <w:rFonts w:ascii="Arial Narrow" w:eastAsia="Arial Narrow" w:hAnsi="Arial Narrow" w:cs="Arial Narrow"/>
                <w:b/>
                <w:sz w:val="20"/>
                <w:szCs w:val="20"/>
                <w:lang w:val="en-ID"/>
              </w:rPr>
              <w:t>Metode</w:t>
            </w:r>
            <w:proofErr w:type="spellEnd"/>
          </w:p>
        </w:tc>
        <w:tc>
          <w:tcPr>
            <w:tcW w:w="2415" w:type="dxa"/>
            <w:tcBorders>
              <w:top w:val="single" w:sz="4" w:space="0" w:color="auto"/>
              <w:bottom w:val="single" w:sz="4" w:space="0" w:color="auto"/>
            </w:tcBorders>
            <w:vAlign w:val="center"/>
          </w:tcPr>
          <w:p w14:paraId="09FB2F42" w14:textId="77777777" w:rsidR="00790DB0" w:rsidRPr="0027045B" w:rsidRDefault="00790DB0" w:rsidP="00744A72">
            <w:pPr>
              <w:ind w:left="0" w:firstLine="0"/>
              <w:jc w:val="center"/>
              <w:rPr>
                <w:rFonts w:ascii="Arial Narrow" w:eastAsia="Arial Narrow" w:hAnsi="Arial Narrow" w:cs="Arial Narrow"/>
                <w:b/>
                <w:sz w:val="20"/>
                <w:szCs w:val="20"/>
                <w:lang w:val="en-ID"/>
              </w:rPr>
            </w:pPr>
            <w:proofErr w:type="spellStart"/>
            <w:r w:rsidRPr="0027045B">
              <w:rPr>
                <w:rFonts w:ascii="Arial Narrow" w:eastAsia="Arial Narrow" w:hAnsi="Arial Narrow" w:cs="Arial Narrow"/>
                <w:b/>
                <w:sz w:val="20"/>
                <w:szCs w:val="20"/>
                <w:lang w:val="en-ID"/>
              </w:rPr>
              <w:t>Temuan</w:t>
            </w:r>
            <w:proofErr w:type="spellEnd"/>
            <w:r w:rsidRPr="0027045B">
              <w:rPr>
                <w:rFonts w:ascii="Arial Narrow" w:eastAsia="Arial Narrow" w:hAnsi="Arial Narrow" w:cs="Arial Narrow"/>
                <w:b/>
                <w:sz w:val="20"/>
                <w:szCs w:val="20"/>
                <w:lang w:val="en-ID"/>
              </w:rPr>
              <w:t xml:space="preserve"> Utama</w:t>
            </w:r>
          </w:p>
        </w:tc>
      </w:tr>
      <w:tr w:rsidR="0027045B" w:rsidRPr="0027045B" w14:paraId="4DE9D85C" w14:textId="77777777" w:rsidTr="001C5C55">
        <w:tc>
          <w:tcPr>
            <w:tcW w:w="447" w:type="dxa"/>
            <w:tcBorders>
              <w:top w:val="single" w:sz="4" w:space="0" w:color="auto"/>
            </w:tcBorders>
            <w:vAlign w:val="center"/>
          </w:tcPr>
          <w:p w14:paraId="28C431FE"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1</w:t>
            </w:r>
          </w:p>
        </w:tc>
        <w:tc>
          <w:tcPr>
            <w:tcW w:w="1533" w:type="dxa"/>
            <w:tcBorders>
              <w:top w:val="single" w:sz="4" w:space="0" w:color="auto"/>
            </w:tcBorders>
            <w:vAlign w:val="center"/>
          </w:tcPr>
          <w:p w14:paraId="09BE99AB"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Agiwahyuanto</w:t>
            </w:r>
            <w:proofErr w:type="spellEnd"/>
            <w:r w:rsidRPr="0027045B">
              <w:rPr>
                <w:rFonts w:ascii="Arial Narrow" w:eastAsia="Arial Narrow" w:hAnsi="Arial Narrow" w:cs="Arial Narrow"/>
                <w:sz w:val="20"/>
                <w:szCs w:val="20"/>
                <w:lang w:val="en-ID"/>
              </w:rPr>
              <w:t xml:space="preserve"> et al. (2021)</w:t>
            </w:r>
          </w:p>
        </w:tc>
        <w:tc>
          <w:tcPr>
            <w:tcW w:w="1559" w:type="dxa"/>
            <w:tcBorders>
              <w:top w:val="single" w:sz="4" w:space="0" w:color="auto"/>
            </w:tcBorders>
            <w:vAlign w:val="center"/>
          </w:tcPr>
          <w:p w14:paraId="7019F808"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Kepemimpinan</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kepuasan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kerja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terhadap</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kualitas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pelayanan</w:t>
            </w:r>
            <w:proofErr w:type="spellEnd"/>
            <w:r w:rsidRPr="0027045B">
              <w:rPr>
                <w:rFonts w:ascii="Arial Narrow" w:eastAsia="Arial Narrow" w:hAnsi="Arial Narrow" w:cs="Arial Narrow"/>
                <w:sz w:val="20"/>
                <w:szCs w:val="20"/>
                <w:lang w:val="en-ID"/>
              </w:rPr>
              <w:t xml:space="preserve"> RSUD </w:t>
            </w:r>
            <w:proofErr w:type="spellStart"/>
            <w:r w:rsidRPr="0027045B">
              <w:rPr>
                <w:rFonts w:ascii="Arial Narrow" w:eastAsia="Arial Narrow" w:hAnsi="Arial Narrow" w:cs="Arial Narrow"/>
                <w:sz w:val="20"/>
                <w:szCs w:val="20"/>
                <w:lang w:val="en-ID"/>
              </w:rPr>
              <w:t>Tipe</w:t>
            </w:r>
            <w:proofErr w:type="spellEnd"/>
            <w:r w:rsidRPr="0027045B">
              <w:rPr>
                <w:rFonts w:ascii="Arial Narrow" w:eastAsia="Arial Narrow" w:hAnsi="Arial Narrow" w:cs="Arial Narrow"/>
                <w:sz w:val="20"/>
                <w:szCs w:val="20"/>
                <w:lang w:val="en-ID"/>
              </w:rPr>
              <w:t xml:space="preserve"> B</w:t>
            </w:r>
          </w:p>
        </w:tc>
        <w:tc>
          <w:tcPr>
            <w:tcW w:w="1701" w:type="dxa"/>
            <w:tcBorders>
              <w:top w:val="single" w:sz="4" w:space="0" w:color="auto"/>
            </w:tcBorders>
            <w:vAlign w:val="center"/>
          </w:tcPr>
          <w:p w14:paraId="2F4D2C9D"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Kuantitatif</w:t>
            </w:r>
            <w:proofErr w:type="spellEnd"/>
            <w:r w:rsidRPr="0027045B">
              <w:rPr>
                <w:rFonts w:ascii="Arial Narrow" w:eastAsia="Arial Narrow" w:hAnsi="Arial Narrow" w:cs="Arial Narrow"/>
                <w:sz w:val="20"/>
                <w:szCs w:val="20"/>
                <w:lang w:val="en-ID"/>
              </w:rPr>
              <w:t xml:space="preserve">, </w:t>
            </w:r>
            <w:r w:rsidRPr="0027045B">
              <w:rPr>
                <w:rFonts w:ascii="Arial Narrow" w:eastAsia="Arial Narrow" w:hAnsi="Arial Narrow" w:cs="Arial Narrow"/>
                <w:i/>
                <w:iCs/>
                <w:sz w:val="20"/>
                <w:szCs w:val="20"/>
                <w:lang w:val="en-ID"/>
              </w:rPr>
              <w:t>cross-sectional</w:t>
            </w:r>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Indeks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Kepuasan</w:t>
            </w:r>
            <w:proofErr w:type="spellEnd"/>
            <w:r w:rsidRPr="0027045B">
              <w:rPr>
                <w:rFonts w:ascii="Arial Narrow" w:eastAsia="Arial Narrow" w:hAnsi="Arial Narrow" w:cs="Arial Narrow"/>
                <w:sz w:val="20"/>
                <w:szCs w:val="20"/>
                <w:lang w:val="en-ID"/>
              </w:rPr>
              <w:t xml:space="preserve"> Masyarakat</w:t>
            </w:r>
          </w:p>
        </w:tc>
        <w:tc>
          <w:tcPr>
            <w:tcW w:w="2415" w:type="dxa"/>
            <w:tcBorders>
              <w:top w:val="single" w:sz="4" w:space="0" w:color="auto"/>
            </w:tcBorders>
            <w:vAlign w:val="center"/>
          </w:tcPr>
          <w:p w14:paraId="3EB5577B"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Kepemimpinan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transformasional</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berpengaruh</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terhadap</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kepuasan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karyawan</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kualitas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pelayanan</w:t>
            </w:r>
            <w:proofErr w:type="spellEnd"/>
          </w:p>
        </w:tc>
      </w:tr>
      <w:tr w:rsidR="0027045B" w:rsidRPr="0027045B" w14:paraId="2A17090F" w14:textId="77777777" w:rsidTr="001C5C55">
        <w:tc>
          <w:tcPr>
            <w:tcW w:w="447" w:type="dxa"/>
            <w:vAlign w:val="center"/>
          </w:tcPr>
          <w:p w14:paraId="1F1E10A0"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2</w:t>
            </w:r>
          </w:p>
        </w:tc>
        <w:tc>
          <w:tcPr>
            <w:tcW w:w="1533" w:type="dxa"/>
            <w:vAlign w:val="center"/>
          </w:tcPr>
          <w:p w14:paraId="5F707D60"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Aman &amp; Yusof (2022)</w:t>
            </w:r>
          </w:p>
        </w:tc>
        <w:tc>
          <w:tcPr>
            <w:tcW w:w="1559" w:type="dxa"/>
            <w:vAlign w:val="center"/>
          </w:tcPr>
          <w:p w14:paraId="7986AF00"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Determinan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adopsi</w:t>
            </w:r>
            <w:proofErr w:type="spellEnd"/>
            <w:r w:rsidRPr="0027045B">
              <w:rPr>
                <w:rFonts w:ascii="Arial Narrow" w:eastAsia="Arial Narrow" w:hAnsi="Arial Narrow" w:cs="Arial Narrow"/>
                <w:sz w:val="20"/>
                <w:szCs w:val="20"/>
                <w:lang w:val="en-ID"/>
              </w:rPr>
              <w:t xml:space="preserve"> Knowledge Management System (KMS)</w:t>
            </w:r>
          </w:p>
        </w:tc>
        <w:tc>
          <w:tcPr>
            <w:tcW w:w="1701" w:type="dxa"/>
            <w:vAlign w:val="center"/>
          </w:tcPr>
          <w:p w14:paraId="3EF49F1E"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Kuantitatif</w:t>
            </w:r>
            <w:proofErr w:type="spellEnd"/>
            <w:r w:rsidRPr="0027045B">
              <w:rPr>
                <w:rFonts w:ascii="Arial Narrow" w:eastAsia="Arial Narrow" w:hAnsi="Arial Narrow" w:cs="Arial Narrow"/>
                <w:sz w:val="20"/>
                <w:szCs w:val="20"/>
                <w:lang w:val="en-ID"/>
              </w:rPr>
              <w:t>, PLS-SEM</w:t>
            </w:r>
          </w:p>
        </w:tc>
        <w:tc>
          <w:tcPr>
            <w:tcW w:w="2415" w:type="dxa"/>
            <w:vAlign w:val="center"/>
          </w:tcPr>
          <w:p w14:paraId="49890F26"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Budaya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berbagi</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pengetahuan</w:t>
            </w:r>
            <w:proofErr w:type="spellEnd"/>
            <w:r w:rsidRPr="0027045B">
              <w:rPr>
                <w:rFonts w:ascii="Arial Narrow" w:eastAsia="Arial Narrow" w:hAnsi="Arial Narrow" w:cs="Arial Narrow"/>
                <w:sz w:val="20"/>
                <w:szCs w:val="20"/>
                <w:lang w:val="en-ID"/>
              </w:rPr>
              <w:t xml:space="preserve"> dan proses </w:t>
            </w:r>
            <w:proofErr w:type="spellStart"/>
            <w:r w:rsidRPr="0027045B">
              <w:rPr>
                <w:rFonts w:ascii="Arial Narrow" w:eastAsia="Arial Narrow" w:hAnsi="Arial Narrow" w:cs="Arial Narrow"/>
                <w:sz w:val="20"/>
                <w:szCs w:val="20"/>
                <w:lang w:val="en-ID"/>
              </w:rPr>
              <w:t>pendukung</w:t>
            </w:r>
            <w:proofErr w:type="spellEnd"/>
            <w:r w:rsidRPr="0027045B">
              <w:rPr>
                <w:rFonts w:ascii="Arial Narrow" w:eastAsia="Arial Narrow" w:hAnsi="Arial Narrow" w:cs="Arial Narrow"/>
                <w:sz w:val="20"/>
                <w:szCs w:val="20"/>
                <w:lang w:val="en-ID"/>
              </w:rPr>
              <w:t xml:space="preserve"> KM </w:t>
            </w:r>
            <w:proofErr w:type="spellStart"/>
            <w:r w:rsidRPr="0027045B">
              <w:rPr>
                <w:rFonts w:ascii="Arial Narrow" w:eastAsia="Arial Narrow" w:hAnsi="Arial Narrow" w:cs="Arial Narrow"/>
                <w:sz w:val="20"/>
                <w:szCs w:val="20"/>
                <w:lang w:val="en-ID"/>
              </w:rPr>
              <w:t>berpengaruh</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signifikan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terhadap</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adopsi</w:t>
            </w:r>
            <w:proofErr w:type="spellEnd"/>
            <w:r w:rsidRPr="0027045B">
              <w:rPr>
                <w:rFonts w:ascii="Arial Narrow" w:eastAsia="Arial Narrow" w:hAnsi="Arial Narrow" w:cs="Arial Narrow"/>
                <w:sz w:val="20"/>
                <w:szCs w:val="20"/>
                <w:lang w:val="en-ID"/>
              </w:rPr>
              <w:t xml:space="preserve"> KMS</w:t>
            </w:r>
          </w:p>
        </w:tc>
      </w:tr>
      <w:tr w:rsidR="0027045B" w:rsidRPr="0027045B" w14:paraId="013BB5E0" w14:textId="77777777" w:rsidTr="001C5C55">
        <w:tc>
          <w:tcPr>
            <w:tcW w:w="447" w:type="dxa"/>
            <w:vAlign w:val="center"/>
          </w:tcPr>
          <w:p w14:paraId="50C35FA3"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3</w:t>
            </w:r>
          </w:p>
        </w:tc>
        <w:tc>
          <w:tcPr>
            <w:tcW w:w="1533" w:type="dxa"/>
            <w:vAlign w:val="center"/>
          </w:tcPr>
          <w:p w14:paraId="7238CC39"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Anning-Dorson (2021)</w:t>
            </w:r>
          </w:p>
        </w:tc>
        <w:tc>
          <w:tcPr>
            <w:tcW w:w="1559" w:type="dxa"/>
            <w:vAlign w:val="center"/>
          </w:tcPr>
          <w:p w14:paraId="07FFA903"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Budaya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kepemimpinan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inovatif</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fleksibilitas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p>
        </w:tc>
        <w:tc>
          <w:tcPr>
            <w:tcW w:w="1701" w:type="dxa"/>
            <w:vAlign w:val="center"/>
          </w:tcPr>
          <w:p w14:paraId="760386C4"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Kuantitatif</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regresi</w:t>
            </w:r>
            <w:proofErr w:type="spellEnd"/>
          </w:p>
        </w:tc>
        <w:tc>
          <w:tcPr>
            <w:tcW w:w="2415" w:type="dxa"/>
            <w:vAlign w:val="center"/>
          </w:tcPr>
          <w:p w14:paraId="005613A1"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Budaya</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kepemimpinan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inovatif</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mendorong</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fleksibilitas</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daya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saing</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p>
        </w:tc>
      </w:tr>
      <w:tr w:rsidR="0027045B" w:rsidRPr="0027045B" w14:paraId="50D1A071" w14:textId="77777777" w:rsidTr="001C5C55">
        <w:tc>
          <w:tcPr>
            <w:tcW w:w="447" w:type="dxa"/>
            <w:vAlign w:val="center"/>
          </w:tcPr>
          <w:p w14:paraId="6ABCF032"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4</w:t>
            </w:r>
          </w:p>
        </w:tc>
        <w:tc>
          <w:tcPr>
            <w:tcW w:w="1533" w:type="dxa"/>
            <w:vAlign w:val="center"/>
          </w:tcPr>
          <w:p w14:paraId="6D57A19D"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Chan et al. (2023)</w:t>
            </w:r>
          </w:p>
        </w:tc>
        <w:tc>
          <w:tcPr>
            <w:tcW w:w="1559" w:type="dxa"/>
            <w:vAlign w:val="center"/>
          </w:tcPr>
          <w:p w14:paraId="55DFF553"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Perencanaan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kualitas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layanan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kesehatan</w:t>
            </w:r>
            <w:proofErr w:type="spellEnd"/>
            <w:r w:rsidRPr="0027045B">
              <w:rPr>
                <w:rFonts w:ascii="Arial Narrow" w:eastAsia="Arial Narrow" w:hAnsi="Arial Narrow" w:cs="Arial Narrow"/>
                <w:sz w:val="20"/>
                <w:szCs w:val="20"/>
                <w:lang w:val="en-ID"/>
              </w:rPr>
              <w:t xml:space="preserve"> oleh </w:t>
            </w:r>
            <w:proofErr w:type="spellStart"/>
            <w:r w:rsidRPr="0027045B">
              <w:rPr>
                <w:rFonts w:ascii="Arial Narrow" w:eastAsia="Arial Narrow" w:hAnsi="Arial Narrow" w:cs="Arial Narrow"/>
                <w:sz w:val="20"/>
                <w:szCs w:val="20"/>
                <w:lang w:val="en-ID"/>
              </w:rPr>
              <w:t>kementerian</w:t>
            </w:r>
            <w:proofErr w:type="spellEnd"/>
          </w:p>
        </w:tc>
        <w:tc>
          <w:tcPr>
            <w:tcW w:w="1701" w:type="dxa"/>
            <w:vAlign w:val="center"/>
          </w:tcPr>
          <w:p w14:paraId="0BD36392"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Analisis</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dokumen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kebijakan</w:t>
            </w:r>
            <w:proofErr w:type="spellEnd"/>
          </w:p>
        </w:tc>
        <w:tc>
          <w:tcPr>
            <w:tcW w:w="2415" w:type="dxa"/>
            <w:vAlign w:val="center"/>
          </w:tcPr>
          <w:p w14:paraId="479F9987"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 xml:space="preserve">Banyak </w:t>
            </w:r>
            <w:proofErr w:type="spellStart"/>
            <w:r w:rsidRPr="0027045B">
              <w:rPr>
                <w:rFonts w:ascii="Arial Narrow" w:eastAsia="Arial Narrow" w:hAnsi="Arial Narrow" w:cs="Arial Narrow"/>
                <w:sz w:val="20"/>
                <w:szCs w:val="20"/>
                <w:lang w:val="en-ID"/>
              </w:rPr>
              <w:t>institusi</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publik</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enggan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menetapkan</w:t>
            </w:r>
            <w:proofErr w:type="spellEnd"/>
            <w:r w:rsidRPr="0027045B">
              <w:rPr>
                <w:rFonts w:ascii="Arial Narrow" w:eastAsia="Arial Narrow" w:hAnsi="Arial Narrow" w:cs="Arial Narrow"/>
                <w:sz w:val="20"/>
                <w:szCs w:val="20"/>
                <w:lang w:val="en-ID"/>
              </w:rPr>
              <w:t xml:space="preserve"> target </w:t>
            </w:r>
            <w:proofErr w:type="spellStart"/>
            <w:r w:rsidRPr="0027045B">
              <w:rPr>
                <w:rFonts w:ascii="Arial Narrow" w:eastAsia="Arial Narrow" w:hAnsi="Arial Narrow" w:cs="Arial Narrow"/>
                <w:sz w:val="20"/>
                <w:szCs w:val="20"/>
                <w:lang w:val="en-ID"/>
              </w:rPr>
              <w:t>kualitas</w:t>
            </w:r>
            <w:proofErr w:type="spellEnd"/>
            <w:r w:rsidRPr="0027045B">
              <w:rPr>
                <w:rFonts w:ascii="Arial Narrow" w:eastAsia="Arial Narrow" w:hAnsi="Arial Narrow" w:cs="Arial Narrow"/>
                <w:sz w:val="20"/>
                <w:szCs w:val="20"/>
                <w:lang w:val="en-ID"/>
              </w:rPr>
              <w:t xml:space="preserve"> yang </w:t>
            </w:r>
            <w:proofErr w:type="spellStart"/>
            <w:r w:rsidRPr="0027045B">
              <w:rPr>
                <w:rFonts w:ascii="Arial Narrow" w:eastAsia="Arial Narrow" w:hAnsi="Arial Narrow" w:cs="Arial Narrow"/>
                <w:sz w:val="20"/>
                <w:szCs w:val="20"/>
                <w:lang w:val="en-ID"/>
              </w:rPr>
              <w:t>jelas</w:t>
            </w:r>
            <w:proofErr w:type="spellEnd"/>
          </w:p>
        </w:tc>
      </w:tr>
      <w:tr w:rsidR="0027045B" w:rsidRPr="0027045B" w14:paraId="0D147FA4" w14:textId="77777777" w:rsidTr="001C5C55">
        <w:tc>
          <w:tcPr>
            <w:tcW w:w="447" w:type="dxa"/>
            <w:tcBorders>
              <w:bottom w:val="single" w:sz="4" w:space="0" w:color="auto"/>
            </w:tcBorders>
            <w:vAlign w:val="center"/>
          </w:tcPr>
          <w:p w14:paraId="1504E512" w14:textId="77777777" w:rsidR="00790DB0" w:rsidRPr="0027045B" w:rsidRDefault="00790DB0" w:rsidP="001C5C55">
            <w:pPr>
              <w:ind w:left="0" w:firstLine="0"/>
              <w:jc w:val="left"/>
              <w:rPr>
                <w:rFonts w:ascii="Arial Narrow" w:eastAsia="Arial Narrow" w:hAnsi="Arial Narrow" w:cs="Arial Narrow"/>
                <w:sz w:val="20"/>
                <w:szCs w:val="20"/>
                <w:lang w:val="en-ID"/>
              </w:rPr>
            </w:pPr>
            <w:r w:rsidRPr="0027045B">
              <w:rPr>
                <w:rFonts w:ascii="Arial Narrow" w:eastAsia="Arial Narrow" w:hAnsi="Arial Narrow" w:cs="Arial Narrow"/>
                <w:sz w:val="20"/>
                <w:szCs w:val="20"/>
                <w:lang w:val="en-ID"/>
              </w:rPr>
              <w:t>5</w:t>
            </w:r>
          </w:p>
        </w:tc>
        <w:tc>
          <w:tcPr>
            <w:tcW w:w="1533" w:type="dxa"/>
            <w:tcBorders>
              <w:bottom w:val="single" w:sz="4" w:space="0" w:color="auto"/>
            </w:tcBorders>
            <w:vAlign w:val="center"/>
          </w:tcPr>
          <w:p w14:paraId="77D4AB18"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Jarrar</w:t>
            </w:r>
            <w:proofErr w:type="spellEnd"/>
            <w:r w:rsidRPr="0027045B">
              <w:rPr>
                <w:rFonts w:ascii="Arial Narrow" w:eastAsia="Arial Narrow" w:hAnsi="Arial Narrow" w:cs="Arial Narrow"/>
                <w:sz w:val="20"/>
                <w:szCs w:val="20"/>
                <w:lang w:val="en-ID"/>
              </w:rPr>
              <w:t xml:space="preserve"> &amp; Ibrahim (2021)</w:t>
            </w:r>
          </w:p>
        </w:tc>
        <w:tc>
          <w:tcPr>
            <w:tcW w:w="1559" w:type="dxa"/>
            <w:tcBorders>
              <w:bottom w:val="single" w:sz="4" w:space="0" w:color="auto"/>
            </w:tcBorders>
            <w:vAlign w:val="center"/>
          </w:tcPr>
          <w:p w14:paraId="34B4A377"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Iklim</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etika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r w:rsidRPr="0027045B">
              <w:rPr>
                <w:rFonts w:ascii="Arial Narrow" w:eastAsia="Arial Narrow" w:hAnsi="Arial Narrow" w:cs="Arial Narrow"/>
                <w:sz w:val="20"/>
                <w:szCs w:val="20"/>
                <w:lang w:val="en-ID"/>
              </w:rPr>
              <w:t xml:space="preserve"> dan </w:t>
            </w:r>
            <w:proofErr w:type="spellStart"/>
            <w:r w:rsidRPr="0027045B">
              <w:rPr>
                <w:rFonts w:ascii="Arial Narrow" w:eastAsia="Arial Narrow" w:hAnsi="Arial Narrow" w:cs="Arial Narrow"/>
                <w:sz w:val="20"/>
                <w:szCs w:val="20"/>
                <w:lang w:val="en-ID"/>
              </w:rPr>
              <w:t>kepercayaan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p>
        </w:tc>
        <w:tc>
          <w:tcPr>
            <w:tcW w:w="1701" w:type="dxa"/>
            <w:tcBorders>
              <w:bottom w:val="single" w:sz="4" w:space="0" w:color="auto"/>
            </w:tcBorders>
            <w:vAlign w:val="center"/>
          </w:tcPr>
          <w:p w14:paraId="10EFEDDD"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Kuantitatif</w:t>
            </w:r>
            <w:proofErr w:type="spellEnd"/>
            <w:r w:rsidRPr="0027045B">
              <w:rPr>
                <w:rFonts w:ascii="Arial Narrow" w:eastAsia="Arial Narrow" w:hAnsi="Arial Narrow" w:cs="Arial Narrow"/>
                <w:sz w:val="20"/>
                <w:szCs w:val="20"/>
                <w:lang w:val="en-ID"/>
              </w:rPr>
              <w:t>, PLS-SEM</w:t>
            </w:r>
          </w:p>
        </w:tc>
        <w:tc>
          <w:tcPr>
            <w:tcW w:w="2415" w:type="dxa"/>
            <w:tcBorders>
              <w:bottom w:val="single" w:sz="4" w:space="0" w:color="auto"/>
            </w:tcBorders>
            <w:vAlign w:val="center"/>
          </w:tcPr>
          <w:p w14:paraId="5F8504C2" w14:textId="77777777" w:rsidR="00790DB0" w:rsidRPr="0027045B" w:rsidRDefault="00790DB0" w:rsidP="001C5C55">
            <w:pPr>
              <w:ind w:left="0" w:firstLine="0"/>
              <w:jc w:val="left"/>
              <w:rPr>
                <w:rFonts w:ascii="Arial Narrow" w:eastAsia="Arial Narrow" w:hAnsi="Arial Narrow" w:cs="Arial Narrow"/>
                <w:sz w:val="20"/>
                <w:szCs w:val="20"/>
                <w:lang w:val="en-ID"/>
              </w:rPr>
            </w:pPr>
            <w:proofErr w:type="spellStart"/>
            <w:r w:rsidRPr="0027045B">
              <w:rPr>
                <w:rFonts w:ascii="Arial Narrow" w:eastAsia="Arial Narrow" w:hAnsi="Arial Narrow" w:cs="Arial Narrow"/>
                <w:sz w:val="20"/>
                <w:szCs w:val="20"/>
                <w:lang w:val="en-ID"/>
              </w:rPr>
              <w:t>Iklim</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etika</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berpengaruh</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positif</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terhadap</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kepercayaan</w:t>
            </w:r>
            <w:proofErr w:type="spellEnd"/>
            <w:r w:rsidRPr="0027045B">
              <w:rPr>
                <w:rFonts w:ascii="Arial Narrow" w:eastAsia="Arial Narrow" w:hAnsi="Arial Narrow" w:cs="Arial Narrow"/>
                <w:sz w:val="20"/>
                <w:szCs w:val="20"/>
                <w:lang w:val="en-ID"/>
              </w:rPr>
              <w:t xml:space="preserve"> </w:t>
            </w:r>
            <w:proofErr w:type="spellStart"/>
            <w:r w:rsidRPr="0027045B">
              <w:rPr>
                <w:rFonts w:ascii="Arial Narrow" w:eastAsia="Arial Narrow" w:hAnsi="Arial Narrow" w:cs="Arial Narrow"/>
                <w:sz w:val="20"/>
                <w:szCs w:val="20"/>
                <w:lang w:val="en-ID"/>
              </w:rPr>
              <w:t>organisasi</w:t>
            </w:r>
            <w:proofErr w:type="spellEnd"/>
          </w:p>
        </w:tc>
      </w:tr>
    </w:tbl>
    <w:p w14:paraId="60685F02" w14:textId="4FB9297B" w:rsidR="00744A72" w:rsidRPr="0027045B" w:rsidRDefault="0027045B" w:rsidP="0027045B">
      <w:pPr>
        <w:ind w:left="0" w:firstLine="0"/>
        <w:rPr>
          <w:rFonts w:ascii="Arial Narrow" w:eastAsia="Arial Narrow" w:hAnsi="Arial Narrow" w:cs="Arial Narrow"/>
          <w:bCs/>
          <w:sz w:val="20"/>
          <w:szCs w:val="20"/>
          <w:lang w:val="en-US"/>
        </w:rPr>
      </w:pPr>
      <w:r w:rsidRPr="0027045B">
        <w:rPr>
          <w:rFonts w:ascii="Arial Narrow" w:eastAsia="Arial Narrow" w:hAnsi="Arial Narrow" w:cs="Arial Narrow"/>
          <w:bCs/>
          <w:sz w:val="20"/>
          <w:szCs w:val="20"/>
          <w:lang w:val="en-US"/>
        </w:rPr>
        <w:t xml:space="preserve">      </w:t>
      </w:r>
      <w:r>
        <w:rPr>
          <w:rFonts w:ascii="Arial Narrow" w:eastAsia="Arial Narrow" w:hAnsi="Arial Narrow" w:cs="Arial Narrow"/>
          <w:bCs/>
          <w:sz w:val="20"/>
          <w:szCs w:val="20"/>
          <w:lang w:val="en-US"/>
        </w:rPr>
        <w:t>(</w:t>
      </w:r>
      <w:proofErr w:type="spellStart"/>
      <w:r w:rsidR="00744A72" w:rsidRPr="0027045B">
        <w:rPr>
          <w:rFonts w:ascii="Arial Narrow" w:eastAsia="Arial Narrow" w:hAnsi="Arial Narrow" w:cs="Arial Narrow"/>
          <w:bCs/>
          <w:sz w:val="20"/>
          <w:szCs w:val="20"/>
          <w:lang w:val="en-US"/>
        </w:rPr>
        <w:t>Sumber</w:t>
      </w:r>
      <w:proofErr w:type="spellEnd"/>
      <w:r w:rsidR="00744A72" w:rsidRPr="0027045B">
        <w:rPr>
          <w:rFonts w:ascii="Arial Narrow" w:eastAsia="Arial Narrow" w:hAnsi="Arial Narrow" w:cs="Arial Narrow"/>
          <w:bCs/>
          <w:sz w:val="20"/>
          <w:szCs w:val="20"/>
          <w:lang w:val="en-US"/>
        </w:rPr>
        <w:t xml:space="preserve">: </w:t>
      </w:r>
      <w:proofErr w:type="spellStart"/>
      <w:r w:rsidR="00744A72" w:rsidRPr="0027045B">
        <w:rPr>
          <w:rFonts w:ascii="Arial Narrow" w:eastAsia="Arial Narrow" w:hAnsi="Arial Narrow" w:cs="Arial Narrow"/>
          <w:bCs/>
          <w:sz w:val="20"/>
          <w:szCs w:val="20"/>
          <w:lang w:val="en-US"/>
        </w:rPr>
        <w:t>Diolah</w:t>
      </w:r>
      <w:proofErr w:type="spellEnd"/>
      <w:r w:rsidR="00744A72" w:rsidRPr="0027045B">
        <w:rPr>
          <w:rFonts w:ascii="Arial Narrow" w:eastAsia="Arial Narrow" w:hAnsi="Arial Narrow" w:cs="Arial Narrow"/>
          <w:bCs/>
          <w:sz w:val="20"/>
          <w:szCs w:val="20"/>
          <w:lang w:val="en-US"/>
        </w:rPr>
        <w:t xml:space="preserve"> oleh </w:t>
      </w:r>
      <w:proofErr w:type="spellStart"/>
      <w:r w:rsidR="00744A72" w:rsidRPr="0027045B">
        <w:rPr>
          <w:rFonts w:ascii="Arial Narrow" w:eastAsia="Arial Narrow" w:hAnsi="Arial Narrow" w:cs="Arial Narrow"/>
          <w:bCs/>
          <w:sz w:val="20"/>
          <w:szCs w:val="20"/>
          <w:lang w:val="en-US"/>
        </w:rPr>
        <w:t>peneliti</w:t>
      </w:r>
      <w:proofErr w:type="spellEnd"/>
      <w:r w:rsidR="00744A72" w:rsidRPr="0027045B">
        <w:rPr>
          <w:rFonts w:ascii="Arial Narrow" w:eastAsia="Arial Narrow" w:hAnsi="Arial Narrow" w:cs="Arial Narrow"/>
          <w:bCs/>
          <w:sz w:val="20"/>
          <w:szCs w:val="20"/>
          <w:lang w:val="en-US"/>
        </w:rPr>
        <w:t>, 2025</w:t>
      </w:r>
      <w:r>
        <w:rPr>
          <w:rFonts w:ascii="Arial Narrow" w:eastAsia="Arial Narrow" w:hAnsi="Arial Narrow" w:cs="Arial Narrow"/>
          <w:bCs/>
          <w:sz w:val="20"/>
          <w:szCs w:val="20"/>
          <w:lang w:val="en-US"/>
        </w:rPr>
        <w:t>)</w:t>
      </w:r>
    </w:p>
    <w:p w14:paraId="04392B58" w14:textId="77777777" w:rsidR="001E27DA" w:rsidRPr="0027045B" w:rsidRDefault="001E27DA">
      <w:pPr>
        <w:ind w:left="0" w:firstLine="0"/>
        <w:rPr>
          <w:rFonts w:ascii="Arial Narrow" w:eastAsia="Arial Narrow" w:hAnsi="Arial Narrow" w:cs="Arial Narrow"/>
          <w:bCs/>
          <w:i/>
          <w:sz w:val="20"/>
          <w:szCs w:val="20"/>
        </w:rPr>
      </w:pPr>
    </w:p>
    <w:p w14:paraId="0B85ADE4" w14:textId="77777777" w:rsidR="007E615A" w:rsidRPr="0027045B" w:rsidRDefault="007E615A" w:rsidP="007E615A">
      <w:pPr>
        <w:ind w:left="0" w:firstLine="720"/>
        <w:rPr>
          <w:rFonts w:ascii="Arial Narrow" w:eastAsia="Arial Narrow" w:hAnsi="Arial Narrow" w:cs="Arial Narrow"/>
          <w:lang w:val="en-ID"/>
        </w:rPr>
      </w:pPr>
      <w:r w:rsidRPr="0027045B">
        <w:rPr>
          <w:rFonts w:ascii="Arial Narrow" w:eastAsia="Arial Narrow" w:hAnsi="Arial Narrow" w:cs="Arial Narrow"/>
          <w:lang w:val="en-ID"/>
        </w:rPr>
        <w:t xml:space="preserve">Hasil </w:t>
      </w:r>
      <w:proofErr w:type="spellStart"/>
      <w:r w:rsidRPr="0027045B">
        <w:rPr>
          <w:rFonts w:ascii="Arial Narrow" w:eastAsia="Arial Narrow" w:hAnsi="Arial Narrow" w:cs="Arial Narrow"/>
          <w:lang w:val="en-ID"/>
        </w:rPr>
        <w:t>telaah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besar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menempatkan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faktor</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berkaitan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efektivitas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Agiwahyuanto</w:t>
      </w:r>
      <w:proofErr w:type="spellEnd"/>
      <w:r w:rsidRPr="0027045B">
        <w:rPr>
          <w:rFonts w:ascii="Arial Narrow" w:eastAsia="Arial Narrow" w:hAnsi="Arial Narrow" w:cs="Arial Narrow"/>
          <w:lang w:val="en-ID"/>
        </w:rPr>
        <w:t xml:space="preserve"> et al. (2021) </w:t>
      </w:r>
      <w:proofErr w:type="spellStart"/>
      <w:r w:rsidRPr="0027045B">
        <w:rPr>
          <w:rFonts w:ascii="Arial Narrow" w:eastAsia="Arial Narrow" w:hAnsi="Arial Narrow" w:cs="Arial Narrow"/>
          <w:lang w:val="en-ID"/>
        </w:rPr>
        <w:t>melaporkan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transformasional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berpengaruh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signifikan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kepuasan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karyawan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pada </w:t>
      </w:r>
      <w:proofErr w:type="spellStart"/>
      <w:r w:rsidRPr="0027045B">
        <w:rPr>
          <w:rFonts w:ascii="Arial Narrow" w:eastAsia="Arial Narrow" w:hAnsi="Arial Narrow" w:cs="Arial Narrow"/>
          <w:lang w:val="en-ID"/>
        </w:rPr>
        <w:t>rumah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sakit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keterkaitan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kondisi</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w:t>
      </w:r>
    </w:p>
    <w:p w14:paraId="226CA912" w14:textId="77777777" w:rsidR="007E615A" w:rsidRPr="0027045B" w:rsidRDefault="007E615A" w:rsidP="007E615A">
      <w:pPr>
        <w:ind w:left="0" w:firstLine="720"/>
        <w:rPr>
          <w:rFonts w:ascii="Arial Narrow" w:eastAsia="Arial Narrow" w:hAnsi="Arial Narrow" w:cs="Arial Narrow"/>
          <w:lang w:val="en-ID"/>
        </w:rPr>
      </w:pP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Aman dan Yusof (2022)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pengetahuan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manajemen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pengetahuan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berpengaruh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signifikan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tingkat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adopsi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Knowledge Management System</w:t>
      </w:r>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mengindikasikan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implementasi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teknologi</w:t>
      </w:r>
      <w:proofErr w:type="spellEnd"/>
      <w:r w:rsidRPr="0027045B">
        <w:rPr>
          <w:rFonts w:ascii="Arial Narrow" w:eastAsia="Arial Narrow" w:hAnsi="Arial Narrow" w:cs="Arial Narrow"/>
          <w:lang w:val="en-ID"/>
        </w:rPr>
        <w:t xml:space="preserve">. Anning-Dorson (2021) juga </w:t>
      </w:r>
      <w:proofErr w:type="spellStart"/>
      <w:r w:rsidRPr="0027045B">
        <w:rPr>
          <w:rFonts w:ascii="Arial Narrow" w:eastAsia="Arial Narrow" w:hAnsi="Arial Narrow" w:cs="Arial Narrow"/>
          <w:lang w:val="en-ID"/>
        </w:rPr>
        <w:t>menemukan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berkontribusi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peningkatan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fleksibilitas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saing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jasa</w:t>
      </w:r>
      <w:proofErr w:type="spellEnd"/>
      <w:r w:rsidRPr="0027045B">
        <w:rPr>
          <w:rFonts w:ascii="Arial Narrow" w:eastAsia="Arial Narrow" w:hAnsi="Arial Narrow" w:cs="Arial Narrow"/>
          <w:lang w:val="en-ID"/>
        </w:rPr>
        <w:t>.</w:t>
      </w:r>
    </w:p>
    <w:p w14:paraId="3D9ED595" w14:textId="77777777" w:rsidR="007E615A" w:rsidRPr="0027045B" w:rsidRDefault="007E615A" w:rsidP="007E615A">
      <w:pPr>
        <w:ind w:left="0" w:firstLine="720"/>
        <w:rPr>
          <w:rFonts w:ascii="Arial Narrow" w:eastAsia="Arial Narrow" w:hAnsi="Arial Narrow" w:cs="Arial Narrow"/>
          <w:lang w:val="en-ID"/>
        </w:rPr>
      </w:pPr>
      <w:r w:rsidRPr="0027045B">
        <w:rPr>
          <w:rFonts w:ascii="Arial Narrow" w:eastAsia="Arial Narrow" w:hAnsi="Arial Narrow" w:cs="Arial Narrow"/>
          <w:lang w:val="en-ID"/>
        </w:rPr>
        <w:t xml:space="preserve">Hasil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Chan et al. (2023)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besar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institusi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memiliki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indikator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namun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relatif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enggan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menetapkan</w:t>
      </w:r>
      <w:proofErr w:type="spellEnd"/>
      <w:r w:rsidRPr="0027045B">
        <w:rPr>
          <w:rFonts w:ascii="Arial Narrow" w:eastAsia="Arial Narrow" w:hAnsi="Arial Narrow" w:cs="Arial Narrow"/>
          <w:lang w:val="en-ID"/>
        </w:rPr>
        <w:t xml:space="preserve"> target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jelas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terukur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mencerminkan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perencanaan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bersifat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berhati-hati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Sementara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itu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Jarrar</w:t>
      </w:r>
      <w:proofErr w:type="spellEnd"/>
      <w:r w:rsidRPr="0027045B">
        <w:rPr>
          <w:rFonts w:ascii="Arial Narrow" w:eastAsia="Arial Narrow" w:hAnsi="Arial Narrow" w:cs="Arial Narrow"/>
          <w:lang w:val="en-ID"/>
        </w:rPr>
        <w:t xml:space="preserve"> dan Ibrahim (2021) </w:t>
      </w:r>
      <w:proofErr w:type="spellStart"/>
      <w:r w:rsidRPr="0027045B">
        <w:rPr>
          <w:rFonts w:ascii="Arial Narrow" w:eastAsia="Arial Narrow" w:hAnsi="Arial Narrow" w:cs="Arial Narrow"/>
          <w:lang w:val="en-ID"/>
        </w:rPr>
        <w:t>menemukan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iklim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etika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berpengaruh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positif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tingkat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kepercayaan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di </w:t>
      </w:r>
      <w:proofErr w:type="spellStart"/>
      <w:r w:rsidRPr="0027045B">
        <w:rPr>
          <w:rFonts w:ascii="Arial Narrow" w:eastAsia="Arial Narrow" w:hAnsi="Arial Narrow" w:cs="Arial Narrow"/>
          <w:lang w:val="en-ID"/>
        </w:rPr>
        <w:t>kementerian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w:t>
      </w:r>
    </w:p>
    <w:p w14:paraId="20408405" w14:textId="28C9F16B" w:rsidR="005349D2" w:rsidRPr="0027045B" w:rsidRDefault="007E615A" w:rsidP="007E615A">
      <w:pPr>
        <w:ind w:left="0" w:firstLine="720"/>
        <w:rPr>
          <w:rFonts w:ascii="Arial Narrow" w:eastAsia="Arial Narrow" w:hAnsi="Arial Narrow" w:cs="Arial Narrow"/>
          <w:lang w:val="en-ID"/>
        </w:rPr>
      </w:pPr>
      <w:proofErr w:type="spellStart"/>
      <w:r w:rsidRPr="0027045B">
        <w:rPr>
          <w:rFonts w:ascii="Arial Narrow" w:eastAsia="Arial Narrow" w:hAnsi="Arial Narrow" w:cs="Arial Narrow"/>
          <w:lang w:val="en-ID"/>
        </w:rPr>
        <w:t>Selain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itu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sejumlah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lain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norma</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perilaku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memengaruhi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pelaksanaan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Santosa</w:t>
      </w:r>
      <w:proofErr w:type="spellEnd"/>
      <w:r w:rsidRPr="0027045B">
        <w:rPr>
          <w:rFonts w:ascii="Arial Narrow" w:eastAsia="Arial Narrow" w:hAnsi="Arial Narrow" w:cs="Arial Narrow"/>
          <w:lang w:val="en-ID"/>
        </w:rPr>
        <w:t xml:space="preserve">, 2023; </w:t>
      </w:r>
      <w:proofErr w:type="spellStart"/>
      <w:r w:rsidRPr="0027045B">
        <w:rPr>
          <w:rFonts w:ascii="Arial Narrow" w:eastAsia="Arial Narrow" w:hAnsi="Arial Narrow" w:cs="Arial Narrow"/>
          <w:lang w:val="en-ID"/>
        </w:rPr>
        <w:t>Lubis</w:t>
      </w:r>
      <w:proofErr w:type="spellEnd"/>
      <w:r w:rsidRPr="0027045B">
        <w:rPr>
          <w:rFonts w:ascii="Arial Narrow" w:eastAsia="Arial Narrow" w:hAnsi="Arial Narrow" w:cs="Arial Narrow"/>
          <w:lang w:val="en-ID"/>
        </w:rPr>
        <w:t xml:space="preserve"> &amp; </w:t>
      </w:r>
      <w:proofErr w:type="spellStart"/>
      <w:r w:rsidRPr="0027045B">
        <w:rPr>
          <w:rFonts w:ascii="Arial Narrow" w:eastAsia="Arial Narrow" w:hAnsi="Arial Narrow" w:cs="Arial Narrow"/>
          <w:lang w:val="en-ID"/>
        </w:rPr>
        <w:t>Ginting</w:t>
      </w:r>
      <w:proofErr w:type="spellEnd"/>
      <w:r w:rsidRPr="0027045B">
        <w:rPr>
          <w:rFonts w:ascii="Arial Narrow" w:eastAsia="Arial Narrow" w:hAnsi="Arial Narrow" w:cs="Arial Narrow"/>
          <w:lang w:val="en-ID"/>
        </w:rPr>
        <w:t xml:space="preserve">, 2022). Smith et al. (2024) </w:t>
      </w:r>
      <w:proofErr w:type="spellStart"/>
      <w:r w:rsidRPr="0027045B">
        <w:rPr>
          <w:rFonts w:ascii="Arial Narrow" w:eastAsia="Arial Narrow" w:hAnsi="Arial Narrow" w:cs="Arial Narrow"/>
          <w:lang w:val="en-ID"/>
        </w:rPr>
        <w:t>melaporkan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inklusif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berkontribusi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peningkatan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interaksi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kolaborasi</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sedangkan</w:t>
      </w:r>
      <w:proofErr w:type="spellEnd"/>
      <w:r w:rsidRPr="0027045B">
        <w:rPr>
          <w:rFonts w:ascii="Arial Narrow" w:eastAsia="Arial Narrow" w:hAnsi="Arial Narrow" w:cs="Arial Narrow"/>
          <w:lang w:val="en-ID"/>
        </w:rPr>
        <w:t xml:space="preserve"> Mattos et </w:t>
      </w:r>
      <w:r w:rsidRPr="0027045B">
        <w:rPr>
          <w:rFonts w:ascii="Arial Narrow" w:eastAsia="Arial Narrow" w:hAnsi="Arial Narrow" w:cs="Arial Narrow"/>
          <w:lang w:val="en-ID"/>
        </w:rPr>
        <w:lastRenderedPageBreak/>
        <w:t xml:space="preserve">al. (2022) </w:t>
      </w:r>
      <w:proofErr w:type="spellStart"/>
      <w:r w:rsidRPr="0027045B">
        <w:rPr>
          <w:rFonts w:ascii="Arial Narrow" w:eastAsia="Arial Narrow" w:hAnsi="Arial Narrow" w:cs="Arial Narrow"/>
          <w:lang w:val="en-ID"/>
        </w:rPr>
        <w:t>mengidentifikasi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evaluasi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menjadi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karakteristik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Saleh (2021) </w:t>
      </w:r>
      <w:proofErr w:type="spellStart"/>
      <w:r w:rsidRPr="0027045B">
        <w:rPr>
          <w:rFonts w:ascii="Arial Narrow" w:eastAsia="Arial Narrow" w:hAnsi="Arial Narrow" w:cs="Arial Narrow"/>
          <w:lang w:val="en-ID"/>
        </w:rPr>
        <w:t>menekankan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pentingnya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kapasitas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institusional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w:t>
      </w:r>
    </w:p>
    <w:p w14:paraId="66157E5E" w14:textId="77777777" w:rsidR="005349D2" w:rsidRPr="0027045B" w:rsidRDefault="005349D2">
      <w:pPr>
        <w:ind w:left="0" w:firstLine="0"/>
        <w:rPr>
          <w:rFonts w:ascii="Arial Narrow" w:eastAsia="Arial Narrow" w:hAnsi="Arial Narrow" w:cs="Arial Narrow"/>
        </w:rPr>
      </w:pPr>
    </w:p>
    <w:p w14:paraId="619DD215" w14:textId="77777777" w:rsidR="007E0982" w:rsidRPr="0027045B" w:rsidRDefault="00D60A14">
      <w:pPr>
        <w:ind w:left="0" w:firstLine="0"/>
        <w:rPr>
          <w:rFonts w:ascii="Arial Narrow" w:eastAsia="Arial Narrow" w:hAnsi="Arial Narrow" w:cs="Arial Narrow"/>
          <w:b/>
        </w:rPr>
      </w:pPr>
      <w:r w:rsidRPr="0027045B">
        <w:rPr>
          <w:rFonts w:ascii="Arial Narrow" w:eastAsia="Arial Narrow" w:hAnsi="Arial Narrow" w:cs="Arial Narrow"/>
          <w:b/>
          <w:i/>
        </w:rPr>
        <w:t>Pembahasan</w:t>
      </w:r>
    </w:p>
    <w:p w14:paraId="4856A5C0" w14:textId="4A424266" w:rsidR="007E615A" w:rsidRPr="0027045B" w:rsidRDefault="007E615A" w:rsidP="007E615A">
      <w:pPr>
        <w:ind w:left="0" w:firstLine="0"/>
        <w:rPr>
          <w:rFonts w:ascii="Arial Narrow" w:eastAsia="Arial Narrow" w:hAnsi="Arial Narrow" w:cs="Arial Narrow"/>
          <w:b/>
          <w:bCs/>
          <w:i/>
          <w:iCs/>
          <w:lang w:val="en-ID"/>
        </w:rPr>
      </w:pPr>
      <w:proofErr w:type="spellStart"/>
      <w:r w:rsidRPr="0027045B">
        <w:rPr>
          <w:rFonts w:ascii="Arial Narrow" w:eastAsia="Arial Narrow" w:hAnsi="Arial Narrow" w:cs="Arial Narrow"/>
          <w:b/>
          <w:bCs/>
          <w:i/>
          <w:iCs/>
          <w:lang w:val="en-ID"/>
        </w:rPr>
        <w:t>Budaya</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Organisasi</w:t>
      </w:r>
      <w:proofErr w:type="spellEnd"/>
      <w:r w:rsidRPr="0027045B">
        <w:rPr>
          <w:rFonts w:ascii="Arial Narrow" w:eastAsia="Arial Narrow" w:hAnsi="Arial Narrow" w:cs="Arial Narrow"/>
          <w:b/>
          <w:bCs/>
          <w:i/>
          <w:iCs/>
          <w:lang w:val="en-ID"/>
        </w:rPr>
        <w:t xml:space="preserve"> dan </w:t>
      </w:r>
      <w:proofErr w:type="spellStart"/>
      <w:r w:rsidRPr="0027045B">
        <w:rPr>
          <w:rFonts w:ascii="Arial Narrow" w:eastAsia="Arial Narrow" w:hAnsi="Arial Narrow" w:cs="Arial Narrow"/>
          <w:b/>
          <w:bCs/>
          <w:i/>
          <w:iCs/>
          <w:lang w:val="en-ID"/>
        </w:rPr>
        <w:t>Kinerja</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Sektor</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Publik</w:t>
      </w:r>
      <w:proofErr w:type="spellEnd"/>
    </w:p>
    <w:p w14:paraId="3F219EFA"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Temuan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berperan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penting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membentuk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Hubungan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kepuasan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aparatur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sebagaimana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dilaporkan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Agiwahyuanto</w:t>
      </w:r>
      <w:proofErr w:type="spellEnd"/>
      <w:r w:rsidRPr="0027045B">
        <w:rPr>
          <w:rFonts w:ascii="Arial Narrow" w:eastAsia="Arial Narrow" w:hAnsi="Arial Narrow" w:cs="Arial Narrow"/>
          <w:lang w:val="en-ID"/>
        </w:rPr>
        <w:t xml:space="preserve"> et al. (2021)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Anning-Dorson (2021) </w:t>
      </w:r>
      <w:proofErr w:type="spellStart"/>
      <w:r w:rsidRPr="0027045B">
        <w:rPr>
          <w:rFonts w:ascii="Arial Narrow" w:eastAsia="Arial Narrow" w:hAnsi="Arial Narrow" w:cs="Arial Narrow"/>
          <w:lang w:val="en-ID"/>
        </w:rPr>
        <w:t>mengindikasikan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tidak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semata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ditentukan</w:t>
      </w:r>
      <w:proofErr w:type="spellEnd"/>
      <w:r w:rsidRPr="0027045B">
        <w:rPr>
          <w:rFonts w:ascii="Arial Narrow" w:eastAsia="Arial Narrow" w:hAnsi="Arial Narrow" w:cs="Arial Narrow"/>
          <w:lang w:val="en-ID"/>
        </w:rPr>
        <w:t xml:space="preserve"> oleh </w:t>
      </w:r>
      <w:proofErr w:type="spellStart"/>
      <w:r w:rsidRPr="0027045B">
        <w:rPr>
          <w:rFonts w:ascii="Arial Narrow" w:eastAsia="Arial Narrow" w:hAnsi="Arial Narrow" w:cs="Arial Narrow"/>
          <w:lang w:val="en-ID"/>
        </w:rPr>
        <w:t>struktur</w:t>
      </w:r>
      <w:proofErr w:type="spellEnd"/>
      <w:r w:rsidRPr="0027045B">
        <w:rPr>
          <w:rFonts w:ascii="Arial Narrow" w:eastAsia="Arial Narrow" w:hAnsi="Arial Narrow" w:cs="Arial Narrow"/>
          <w:lang w:val="en-ID"/>
        </w:rPr>
        <w:t xml:space="preserve"> formal </w:t>
      </w:r>
      <w:proofErr w:type="spellStart"/>
      <w:r w:rsidRPr="0027045B">
        <w:rPr>
          <w:rFonts w:ascii="Arial Narrow" w:eastAsia="Arial Narrow" w:hAnsi="Arial Narrow" w:cs="Arial Narrow"/>
          <w:lang w:val="en-ID"/>
        </w:rPr>
        <w:t>atau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prosedur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administratif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tetapi</w:t>
      </w:r>
      <w:proofErr w:type="spellEnd"/>
      <w:r w:rsidRPr="0027045B">
        <w:rPr>
          <w:rFonts w:ascii="Arial Narrow" w:eastAsia="Arial Narrow" w:hAnsi="Arial Narrow" w:cs="Arial Narrow"/>
          <w:lang w:val="en-ID"/>
        </w:rPr>
        <w:t xml:space="preserve"> juga oleh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norma</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mengarahkan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perilaku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aparatur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berfungsi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mekanisme</w:t>
      </w:r>
      <w:proofErr w:type="spellEnd"/>
      <w:r w:rsidRPr="0027045B">
        <w:rPr>
          <w:rFonts w:ascii="Arial Narrow" w:eastAsia="Arial Narrow" w:hAnsi="Arial Narrow" w:cs="Arial Narrow"/>
          <w:lang w:val="en-ID"/>
        </w:rPr>
        <w:t xml:space="preserve"> internal yang </w:t>
      </w:r>
      <w:proofErr w:type="spellStart"/>
      <w:r w:rsidRPr="0027045B">
        <w:rPr>
          <w:rFonts w:ascii="Arial Narrow" w:eastAsia="Arial Narrow" w:hAnsi="Arial Narrow" w:cs="Arial Narrow"/>
          <w:lang w:val="en-ID"/>
        </w:rPr>
        <w:t>memengaruhi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bagaimana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dijalankan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diberikan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Namun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besar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menempatkan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faktor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penjelas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linear, </w:t>
      </w:r>
      <w:proofErr w:type="spellStart"/>
      <w:r w:rsidRPr="0027045B">
        <w:rPr>
          <w:rFonts w:ascii="Arial Narrow" w:eastAsia="Arial Narrow" w:hAnsi="Arial Narrow" w:cs="Arial Narrow"/>
          <w:lang w:val="en-ID"/>
        </w:rPr>
        <w:t>tanpa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mengaitkannya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dinamika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jangka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panjang</w:t>
      </w:r>
      <w:proofErr w:type="spellEnd"/>
      <w:r w:rsidRPr="0027045B">
        <w:rPr>
          <w:rFonts w:ascii="Arial Narrow" w:eastAsia="Arial Narrow" w:hAnsi="Arial Narrow" w:cs="Arial Narrow"/>
          <w:lang w:val="en-ID"/>
        </w:rPr>
        <w:t>.</w:t>
      </w:r>
    </w:p>
    <w:p w14:paraId="07DCA9B3" w14:textId="5488C912" w:rsidR="007E615A" w:rsidRPr="0027045B" w:rsidRDefault="007E615A" w:rsidP="007E615A">
      <w:pPr>
        <w:ind w:left="0" w:firstLine="0"/>
        <w:rPr>
          <w:rFonts w:ascii="Arial Narrow" w:eastAsia="Arial Narrow" w:hAnsi="Arial Narrow" w:cs="Arial Narrow"/>
          <w:b/>
          <w:bCs/>
          <w:i/>
          <w:iCs/>
          <w:lang w:val="en-ID"/>
        </w:rPr>
      </w:pPr>
      <w:proofErr w:type="spellStart"/>
      <w:r w:rsidRPr="0027045B">
        <w:rPr>
          <w:rFonts w:ascii="Arial Narrow" w:eastAsia="Arial Narrow" w:hAnsi="Arial Narrow" w:cs="Arial Narrow"/>
          <w:b/>
          <w:bCs/>
          <w:i/>
          <w:iCs/>
          <w:lang w:val="en-ID"/>
        </w:rPr>
        <w:t>Budaya</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Organisasi</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sebagai</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Pendukung</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Inovasi</w:t>
      </w:r>
      <w:proofErr w:type="spellEnd"/>
    </w:p>
    <w:p w14:paraId="3766F971"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Sejumlah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memiliki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keterkaitan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erat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di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Aman dan Yusof (2022) </w:t>
      </w:r>
      <w:proofErr w:type="spellStart"/>
      <w:r w:rsidRPr="0027045B">
        <w:rPr>
          <w:rFonts w:ascii="Arial Narrow" w:eastAsia="Arial Narrow" w:hAnsi="Arial Narrow" w:cs="Arial Narrow"/>
          <w:lang w:val="en-ID"/>
        </w:rPr>
        <w:t>serta</w:t>
      </w:r>
      <w:proofErr w:type="spellEnd"/>
      <w:r w:rsidRPr="0027045B">
        <w:rPr>
          <w:rFonts w:ascii="Arial Narrow" w:eastAsia="Arial Narrow" w:hAnsi="Arial Narrow" w:cs="Arial Narrow"/>
          <w:lang w:val="en-ID"/>
        </w:rPr>
        <w:t xml:space="preserve"> Mattos et al. (2022) </w:t>
      </w:r>
      <w:proofErr w:type="spellStart"/>
      <w:r w:rsidRPr="0027045B">
        <w:rPr>
          <w:rFonts w:ascii="Arial Narrow" w:eastAsia="Arial Narrow" w:hAnsi="Arial Narrow" w:cs="Arial Narrow"/>
          <w:lang w:val="en-ID"/>
        </w:rPr>
        <w:t>menegaskan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pengetahuan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pembelajaran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evaluasi</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menjadi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prasyarat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penting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adopsi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termasuk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berbasis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teknologi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manajerial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Temuan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memperkuat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pandangan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tidak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hanya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bergantung</w:t>
      </w:r>
      <w:proofErr w:type="spellEnd"/>
      <w:r w:rsidRPr="0027045B">
        <w:rPr>
          <w:rFonts w:ascii="Arial Narrow" w:eastAsia="Arial Narrow" w:hAnsi="Arial Narrow" w:cs="Arial Narrow"/>
          <w:lang w:val="en-ID"/>
        </w:rPr>
        <w:t xml:space="preserve"> pada </w:t>
      </w:r>
      <w:proofErr w:type="spellStart"/>
      <w:r w:rsidRPr="0027045B">
        <w:rPr>
          <w:rFonts w:ascii="Arial Narrow" w:eastAsia="Arial Narrow" w:hAnsi="Arial Narrow" w:cs="Arial Narrow"/>
          <w:lang w:val="en-ID"/>
        </w:rPr>
        <w:t>ketersediaan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sumber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atau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formal, </w:t>
      </w:r>
      <w:proofErr w:type="spellStart"/>
      <w:r w:rsidRPr="0027045B">
        <w:rPr>
          <w:rFonts w:ascii="Arial Narrow" w:eastAsia="Arial Narrow" w:hAnsi="Arial Narrow" w:cs="Arial Narrow"/>
          <w:lang w:val="en-ID"/>
        </w:rPr>
        <w:t>tetapi</w:t>
      </w:r>
      <w:proofErr w:type="spellEnd"/>
      <w:r w:rsidRPr="0027045B">
        <w:rPr>
          <w:rFonts w:ascii="Arial Narrow" w:eastAsia="Arial Narrow" w:hAnsi="Arial Narrow" w:cs="Arial Narrow"/>
          <w:lang w:val="en-ID"/>
        </w:rPr>
        <w:t xml:space="preserve"> juga pada </w:t>
      </w:r>
      <w:proofErr w:type="spellStart"/>
      <w:r w:rsidRPr="0027045B">
        <w:rPr>
          <w:rFonts w:ascii="Arial Narrow" w:eastAsia="Arial Narrow" w:hAnsi="Arial Narrow" w:cs="Arial Narrow"/>
          <w:lang w:val="en-ID"/>
        </w:rPr>
        <w:t>kesiapan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menerima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Meskipun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demikian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cenderung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memisahkan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pembahasan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dua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variabel</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berdiri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sendiri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sehingga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hubungan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keduanya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belum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dikembangkan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konseptual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yang </w:t>
      </w:r>
      <w:proofErr w:type="spellStart"/>
      <w:r w:rsidRPr="0027045B">
        <w:rPr>
          <w:rFonts w:ascii="Arial Narrow" w:eastAsia="Arial Narrow" w:hAnsi="Arial Narrow" w:cs="Arial Narrow"/>
          <w:lang w:val="en-ID"/>
        </w:rPr>
        <w:t>saling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membentuk</w:t>
      </w:r>
      <w:proofErr w:type="spellEnd"/>
      <w:r w:rsidRPr="0027045B">
        <w:rPr>
          <w:rFonts w:ascii="Arial Narrow" w:eastAsia="Arial Narrow" w:hAnsi="Arial Narrow" w:cs="Arial Narrow"/>
          <w:lang w:val="en-ID"/>
        </w:rPr>
        <w:t>.</w:t>
      </w:r>
    </w:p>
    <w:p w14:paraId="047C2D7C" w14:textId="574AF307" w:rsidR="007E615A" w:rsidRPr="0027045B" w:rsidRDefault="007E615A" w:rsidP="007E615A">
      <w:pPr>
        <w:ind w:left="0" w:firstLine="0"/>
        <w:rPr>
          <w:rFonts w:ascii="Arial Narrow" w:eastAsia="Arial Narrow" w:hAnsi="Arial Narrow" w:cs="Arial Narrow"/>
          <w:b/>
          <w:bCs/>
          <w:i/>
          <w:iCs/>
          <w:lang w:val="en-ID"/>
        </w:rPr>
      </w:pPr>
      <w:proofErr w:type="spellStart"/>
      <w:r w:rsidRPr="0027045B">
        <w:rPr>
          <w:rFonts w:ascii="Arial Narrow" w:eastAsia="Arial Narrow" w:hAnsi="Arial Narrow" w:cs="Arial Narrow"/>
          <w:b/>
          <w:bCs/>
          <w:i/>
          <w:iCs/>
          <w:lang w:val="en-ID"/>
        </w:rPr>
        <w:t>Budaya</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Organisasi</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Defensif</w:t>
      </w:r>
      <w:proofErr w:type="spellEnd"/>
      <w:r w:rsidRPr="0027045B">
        <w:rPr>
          <w:rFonts w:ascii="Arial Narrow" w:eastAsia="Arial Narrow" w:hAnsi="Arial Narrow" w:cs="Arial Narrow"/>
          <w:b/>
          <w:bCs/>
          <w:i/>
          <w:iCs/>
          <w:lang w:val="en-ID"/>
        </w:rPr>
        <w:t xml:space="preserve"> versus </w:t>
      </w:r>
      <w:proofErr w:type="spellStart"/>
      <w:r w:rsidRPr="0027045B">
        <w:rPr>
          <w:rFonts w:ascii="Arial Narrow" w:eastAsia="Arial Narrow" w:hAnsi="Arial Narrow" w:cs="Arial Narrow"/>
          <w:b/>
          <w:bCs/>
          <w:i/>
          <w:iCs/>
          <w:lang w:val="en-ID"/>
        </w:rPr>
        <w:t>Adaptif</w:t>
      </w:r>
      <w:proofErr w:type="spellEnd"/>
    </w:p>
    <w:p w14:paraId="2AE9A1D3"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Pembahasan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mengenai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karakter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memperlihatkan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adanya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perbedaan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bersifat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defensif</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Chan et al. (2023)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kehati-hatian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berlebihan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menetapkan</w:t>
      </w:r>
      <w:proofErr w:type="spellEnd"/>
      <w:r w:rsidRPr="0027045B">
        <w:rPr>
          <w:rFonts w:ascii="Arial Narrow" w:eastAsia="Arial Narrow" w:hAnsi="Arial Narrow" w:cs="Arial Narrow"/>
          <w:lang w:val="en-ID"/>
        </w:rPr>
        <w:t xml:space="preserve"> target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mencerminkan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defensif</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berpotensi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menghambat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manajerial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Sebaliknya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studi</w:t>
      </w:r>
      <w:proofErr w:type="spellEnd"/>
      <w:r w:rsidRPr="0027045B">
        <w:rPr>
          <w:rFonts w:ascii="Arial Narrow" w:eastAsia="Arial Narrow" w:hAnsi="Arial Narrow" w:cs="Arial Narrow"/>
          <w:lang w:val="en-ID"/>
        </w:rPr>
        <w:t xml:space="preserve"> Smith et al. (2024) dan Saleh (2021) </w:t>
      </w:r>
      <w:proofErr w:type="spellStart"/>
      <w:r w:rsidRPr="0027045B">
        <w:rPr>
          <w:rFonts w:ascii="Arial Narrow" w:eastAsia="Arial Narrow" w:hAnsi="Arial Narrow" w:cs="Arial Narrow"/>
          <w:lang w:val="en-ID"/>
        </w:rPr>
        <w:t>menyoroti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inklusif</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kapasitas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institusional</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kuat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dapat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memperkuat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pembelajaran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kolaborasi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adaptabilitas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Perbedaan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tidak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bersifat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homogen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melainkan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berkembang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interaksi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nilai</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kepemimpinan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tekanan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lingkungan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Namun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besar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belum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eksplisit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membahas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transformasi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dari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defensif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menuju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w:t>
      </w:r>
    </w:p>
    <w:p w14:paraId="5FF1E2D5" w14:textId="26AD0FDC" w:rsidR="007E615A" w:rsidRPr="0027045B" w:rsidRDefault="007E615A" w:rsidP="007E615A">
      <w:pPr>
        <w:ind w:left="0" w:firstLine="0"/>
        <w:rPr>
          <w:rFonts w:ascii="Arial Narrow" w:eastAsia="Arial Narrow" w:hAnsi="Arial Narrow" w:cs="Arial Narrow"/>
          <w:b/>
          <w:bCs/>
          <w:i/>
          <w:iCs/>
          <w:lang w:val="en-ID"/>
        </w:rPr>
      </w:pPr>
      <w:proofErr w:type="spellStart"/>
      <w:r w:rsidRPr="0027045B">
        <w:rPr>
          <w:rFonts w:ascii="Arial Narrow" w:eastAsia="Arial Narrow" w:hAnsi="Arial Narrow" w:cs="Arial Narrow"/>
          <w:b/>
          <w:bCs/>
          <w:i/>
          <w:iCs/>
          <w:lang w:val="en-ID"/>
        </w:rPr>
        <w:t>Kebutuhan</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Pendekatan</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Holistik</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dalam</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Pengembangan</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Sektor</w:t>
      </w:r>
      <w:proofErr w:type="spellEnd"/>
      <w:r w:rsidRPr="0027045B">
        <w:rPr>
          <w:rFonts w:ascii="Arial Narrow" w:eastAsia="Arial Narrow" w:hAnsi="Arial Narrow" w:cs="Arial Narrow"/>
          <w:b/>
          <w:bCs/>
          <w:i/>
          <w:iCs/>
          <w:lang w:val="en-ID"/>
        </w:rPr>
        <w:t xml:space="preserve"> </w:t>
      </w:r>
      <w:proofErr w:type="spellStart"/>
      <w:r w:rsidRPr="0027045B">
        <w:rPr>
          <w:rFonts w:ascii="Arial Narrow" w:eastAsia="Arial Narrow" w:hAnsi="Arial Narrow" w:cs="Arial Narrow"/>
          <w:b/>
          <w:bCs/>
          <w:i/>
          <w:iCs/>
          <w:lang w:val="en-ID"/>
        </w:rPr>
        <w:t>Publik</w:t>
      </w:r>
      <w:proofErr w:type="spellEnd"/>
    </w:p>
    <w:p w14:paraId="5D97F4A5"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keseluruhan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kajian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terfragmentasi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cenderung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parsial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sering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diperlakukan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variabel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pendukung</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statis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dynamic change process</w:t>
      </w:r>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terinternalisasi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pembelajaran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Keterbatasan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menegaskan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perlunya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holistik</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mengintegrasikan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satu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kerangka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analitis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semacam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memungkinkan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pemahaman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lebih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komprehensif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mengenai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bagaimana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berkelanjutan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peningkatan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jangka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panjang</w:t>
      </w:r>
      <w:proofErr w:type="spellEnd"/>
      <w:r w:rsidRPr="0027045B">
        <w:rPr>
          <w:rFonts w:ascii="Arial Narrow" w:eastAsia="Arial Narrow" w:hAnsi="Arial Narrow" w:cs="Arial Narrow"/>
          <w:lang w:val="en-ID"/>
        </w:rPr>
        <w:t xml:space="preserve"> (Farrukh &amp; Sajjad, 2023; </w:t>
      </w:r>
      <w:proofErr w:type="spellStart"/>
      <w:r w:rsidRPr="0027045B">
        <w:rPr>
          <w:rFonts w:ascii="Arial Narrow" w:eastAsia="Arial Narrow" w:hAnsi="Arial Narrow" w:cs="Arial Narrow"/>
          <w:lang w:val="en-ID"/>
        </w:rPr>
        <w:t>Benamraoui</w:t>
      </w:r>
      <w:proofErr w:type="spellEnd"/>
      <w:r w:rsidRPr="0027045B">
        <w:rPr>
          <w:rFonts w:ascii="Arial Narrow" w:eastAsia="Arial Narrow" w:hAnsi="Arial Narrow" w:cs="Arial Narrow"/>
          <w:lang w:val="en-ID"/>
        </w:rPr>
        <w:t xml:space="preserve"> et al., 2024; </w:t>
      </w:r>
      <w:proofErr w:type="spellStart"/>
      <w:r w:rsidRPr="0027045B">
        <w:rPr>
          <w:rFonts w:ascii="Arial Narrow" w:eastAsia="Arial Narrow" w:hAnsi="Arial Narrow" w:cs="Arial Narrow"/>
          <w:lang w:val="en-ID"/>
        </w:rPr>
        <w:t>Lechuga</w:t>
      </w:r>
      <w:proofErr w:type="spellEnd"/>
      <w:r w:rsidRPr="0027045B">
        <w:rPr>
          <w:rFonts w:ascii="Arial Narrow" w:eastAsia="Arial Narrow" w:hAnsi="Arial Narrow" w:cs="Arial Narrow"/>
          <w:lang w:val="en-ID"/>
        </w:rPr>
        <w:t xml:space="preserve"> &amp; Aswad, 2024).</w:t>
      </w:r>
    </w:p>
    <w:p w14:paraId="0B8EA2B2" w14:textId="3524BDF3" w:rsidR="007E0982" w:rsidRPr="0027045B" w:rsidRDefault="008C663F" w:rsidP="007E615A">
      <w:pPr>
        <w:ind w:left="0" w:firstLine="709"/>
        <w:rPr>
          <w:rFonts w:ascii="Arial Narrow" w:eastAsia="Arial Narrow" w:hAnsi="Arial Narrow" w:cs="Arial Narrow"/>
          <w:lang w:val="en-ID"/>
        </w:rPr>
      </w:pPr>
      <w:r w:rsidRPr="0027045B">
        <w:rPr>
          <w:rFonts w:ascii="Arial Narrow" w:eastAsia="Arial Narrow" w:hAnsi="Arial Narrow" w:cs="Arial Narrow"/>
          <w:lang w:val="en-ID"/>
        </w:rPr>
        <w:t xml:space="preserve"> </w:t>
      </w:r>
    </w:p>
    <w:p w14:paraId="7A042AB4" w14:textId="77777777" w:rsidR="007E0982" w:rsidRPr="0027045B" w:rsidRDefault="00D60A14">
      <w:pPr>
        <w:ind w:left="0" w:firstLine="0"/>
        <w:rPr>
          <w:rFonts w:ascii="Arial Narrow" w:eastAsia="Arial Narrow" w:hAnsi="Arial Narrow" w:cs="Arial Narrow"/>
          <w:b/>
        </w:rPr>
      </w:pPr>
      <w:r w:rsidRPr="0027045B">
        <w:rPr>
          <w:rFonts w:ascii="Arial Narrow" w:eastAsia="Arial Narrow" w:hAnsi="Arial Narrow" w:cs="Arial Narrow"/>
          <w:b/>
        </w:rPr>
        <w:t>PENUTUP</w:t>
      </w:r>
    </w:p>
    <w:p w14:paraId="786B4EE1"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merupakan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elemen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kunci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pengembangan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terutama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ketika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diposisikan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dinamis</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terkait</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langsung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lastRenderedPageBreak/>
        <w:t>organisasi</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Hasil </w:t>
      </w:r>
      <w:proofErr w:type="spellStart"/>
      <w:r w:rsidRPr="0027045B">
        <w:rPr>
          <w:rFonts w:ascii="Arial Narrow" w:eastAsia="Arial Narrow" w:hAnsi="Arial Narrow" w:cs="Arial Narrow"/>
          <w:lang w:val="en-ID"/>
        </w:rPr>
        <w:t>kajian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menunjukkan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bahwa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tidak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hanya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berfungsi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latar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normatif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atau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variabel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tetapi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membentuk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pola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perilaku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berpikir</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kapasitas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adaptif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merespons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tuntutan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w:t>
      </w:r>
    </w:p>
    <w:p w14:paraId="47BDF357" w14:textId="77777777" w:rsidR="007E615A"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Meskipun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literatur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telah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mengakui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pengaruh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kinerja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kualitas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pelayanan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besar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masih</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memandang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secara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parsial</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statis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sering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diposisikan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faktor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pendukung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kebijakan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atau</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teknologi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tanpa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dianalisis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proses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terinternalisasi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melalui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seperti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pembelajaran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kolaborasi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keterbukaan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terhadap</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w:t>
      </w:r>
    </w:p>
    <w:p w14:paraId="4EA3DC0A" w14:textId="1F8B1155" w:rsidR="005F1598" w:rsidRPr="0027045B" w:rsidRDefault="007E615A" w:rsidP="007E615A">
      <w:pPr>
        <w:ind w:left="0" w:firstLine="709"/>
        <w:rPr>
          <w:rFonts w:ascii="Arial Narrow" w:eastAsia="Arial Narrow" w:hAnsi="Arial Narrow" w:cs="Arial Narrow"/>
          <w:lang w:val="en-ID"/>
        </w:rPr>
      </w:pPr>
      <w:proofErr w:type="spellStart"/>
      <w:r w:rsidRPr="0027045B">
        <w:rPr>
          <w:rFonts w:ascii="Arial Narrow" w:eastAsia="Arial Narrow" w:hAnsi="Arial Narrow" w:cs="Arial Narrow"/>
          <w:lang w:val="en-ID"/>
        </w:rPr>
        <w:t>Artikel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memberikan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kontribusi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teoretis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dengan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mereformulasi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sebagai</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dynamic change process</w:t>
      </w:r>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memediasi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inovasi</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transformasi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Pendekatan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holistik</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ditawarkan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memperluas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pemahaman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mengenai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dinamika</w:t>
      </w:r>
      <w:proofErr w:type="spellEnd"/>
      <w:r w:rsidRPr="0027045B">
        <w:rPr>
          <w:rFonts w:ascii="Arial Narrow" w:eastAsia="Arial Narrow" w:hAnsi="Arial Narrow" w:cs="Arial Narrow"/>
          <w:lang w:val="en-ID"/>
        </w:rPr>
        <w:t xml:space="preserve"> internal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membuka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ruang</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bagi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penelitian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empiris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selanjutnya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untuk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menguji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interaksi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perubahan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praktik</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inovatif</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konteks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organisasi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sektor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publik</w:t>
      </w:r>
      <w:proofErr w:type="spellEnd"/>
      <w:r w:rsidRPr="0027045B">
        <w:rPr>
          <w:rFonts w:ascii="Arial Narrow" w:eastAsia="Arial Narrow" w:hAnsi="Arial Narrow" w:cs="Arial Narrow"/>
          <w:lang w:val="en-ID"/>
        </w:rPr>
        <w:t xml:space="preserve"> yang </w:t>
      </w:r>
      <w:proofErr w:type="spellStart"/>
      <w:r w:rsidRPr="0027045B">
        <w:rPr>
          <w:rFonts w:ascii="Arial Narrow" w:eastAsia="Arial Narrow" w:hAnsi="Arial Narrow" w:cs="Arial Narrow"/>
          <w:lang w:val="en-ID"/>
        </w:rPr>
        <w:t>spesifik</w:t>
      </w:r>
      <w:proofErr w:type="spellEnd"/>
      <w:r w:rsidRPr="0027045B">
        <w:rPr>
          <w:rFonts w:ascii="Arial Narrow" w:eastAsia="Arial Narrow" w:hAnsi="Arial Narrow" w:cs="Arial Narrow"/>
          <w:lang w:val="en-ID"/>
        </w:rPr>
        <w:t>.</w:t>
      </w:r>
    </w:p>
    <w:p w14:paraId="36D11AEA" w14:textId="77777777" w:rsidR="007E0982" w:rsidRPr="0027045B" w:rsidRDefault="007E0982">
      <w:pPr>
        <w:ind w:left="0" w:firstLine="0"/>
        <w:rPr>
          <w:rFonts w:ascii="Arial Narrow" w:eastAsia="Arial Narrow" w:hAnsi="Arial Narrow" w:cs="Arial Narrow"/>
          <w:i/>
        </w:rPr>
      </w:pPr>
    </w:p>
    <w:p w14:paraId="0F0265B1" w14:textId="77777777" w:rsidR="007E0982" w:rsidRPr="0027045B" w:rsidRDefault="00D60A14" w:rsidP="00B731D9">
      <w:pPr>
        <w:ind w:left="0" w:firstLine="0"/>
        <w:rPr>
          <w:rFonts w:ascii="Arial Narrow" w:eastAsia="Arial Narrow" w:hAnsi="Arial Narrow" w:cs="Arial Narrow"/>
          <w:b/>
        </w:rPr>
      </w:pPr>
      <w:r w:rsidRPr="0027045B">
        <w:rPr>
          <w:rFonts w:ascii="Arial Narrow" w:eastAsia="Arial Narrow" w:hAnsi="Arial Narrow" w:cs="Arial Narrow"/>
          <w:b/>
        </w:rPr>
        <w:t>DAFTAR PUSTAKA</w:t>
      </w:r>
    </w:p>
    <w:p w14:paraId="639BB2EF" w14:textId="77777777"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Agiwahyuanto</w:t>
      </w:r>
      <w:proofErr w:type="spellEnd"/>
      <w:r w:rsidRPr="0027045B">
        <w:rPr>
          <w:rFonts w:ascii="Arial Narrow" w:eastAsia="Arial Narrow" w:hAnsi="Arial Narrow" w:cs="Arial Narrow"/>
          <w:lang w:val="en-ID"/>
        </w:rPr>
        <w:t xml:space="preserve">, F., </w:t>
      </w:r>
      <w:proofErr w:type="spellStart"/>
      <w:r w:rsidRPr="0027045B">
        <w:rPr>
          <w:rFonts w:ascii="Arial Narrow" w:eastAsia="Arial Narrow" w:hAnsi="Arial Narrow" w:cs="Arial Narrow"/>
          <w:lang w:val="en-ID"/>
        </w:rPr>
        <w:t>Suharyo</w:t>
      </w:r>
      <w:proofErr w:type="spellEnd"/>
      <w:r w:rsidRPr="0027045B">
        <w:rPr>
          <w:rFonts w:ascii="Arial Narrow" w:eastAsia="Arial Narrow" w:hAnsi="Arial Narrow" w:cs="Arial Narrow"/>
          <w:lang w:val="en-ID"/>
        </w:rPr>
        <w:t xml:space="preserve">, S., </w:t>
      </w:r>
      <w:proofErr w:type="spellStart"/>
      <w:r w:rsidRPr="0027045B">
        <w:rPr>
          <w:rFonts w:ascii="Arial Narrow" w:eastAsia="Arial Narrow" w:hAnsi="Arial Narrow" w:cs="Arial Narrow"/>
          <w:lang w:val="en-ID"/>
        </w:rPr>
        <w:t>Ayusasmita</w:t>
      </w:r>
      <w:proofErr w:type="spellEnd"/>
      <w:r w:rsidRPr="0027045B">
        <w:rPr>
          <w:rFonts w:ascii="Arial Narrow" w:eastAsia="Arial Narrow" w:hAnsi="Arial Narrow" w:cs="Arial Narrow"/>
          <w:lang w:val="en-ID"/>
        </w:rPr>
        <w:t xml:space="preserve">, V., &amp; </w:t>
      </w:r>
      <w:proofErr w:type="spellStart"/>
      <w:r w:rsidRPr="0027045B">
        <w:rPr>
          <w:rFonts w:ascii="Arial Narrow" w:eastAsia="Arial Narrow" w:hAnsi="Arial Narrow" w:cs="Arial Narrow"/>
          <w:lang w:val="en-ID"/>
        </w:rPr>
        <w:t>Widjasena</w:t>
      </w:r>
      <w:proofErr w:type="spellEnd"/>
      <w:r w:rsidRPr="0027045B">
        <w:rPr>
          <w:rFonts w:ascii="Arial Narrow" w:eastAsia="Arial Narrow" w:hAnsi="Arial Narrow" w:cs="Arial Narrow"/>
          <w:lang w:val="en-ID"/>
        </w:rPr>
        <w:t xml:space="preserve">, B. (2021). Satisfaction index of employees on service quality through quality leadership at three B-type hospitals in Central Java Province. </w:t>
      </w:r>
      <w:proofErr w:type="spellStart"/>
      <w:r w:rsidRPr="0027045B">
        <w:rPr>
          <w:rFonts w:ascii="Arial Narrow" w:eastAsia="Arial Narrow" w:hAnsi="Arial Narrow" w:cs="Arial Narrow"/>
          <w:i/>
          <w:iCs/>
          <w:lang w:val="en-ID"/>
        </w:rPr>
        <w:t>Unnes</w:t>
      </w:r>
      <w:proofErr w:type="spellEnd"/>
      <w:r w:rsidRPr="0027045B">
        <w:rPr>
          <w:rFonts w:ascii="Arial Narrow" w:eastAsia="Arial Narrow" w:hAnsi="Arial Narrow" w:cs="Arial Narrow"/>
          <w:i/>
          <w:iCs/>
          <w:lang w:val="en-ID"/>
        </w:rPr>
        <w:t xml:space="preserve"> Journal of Public Health</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10</w:t>
      </w:r>
      <w:r w:rsidRPr="0027045B">
        <w:rPr>
          <w:rFonts w:ascii="Arial Narrow" w:eastAsia="Arial Narrow" w:hAnsi="Arial Narrow" w:cs="Arial Narrow"/>
          <w:lang w:val="en-ID"/>
        </w:rPr>
        <w:t xml:space="preserve">(1), 78–85. </w:t>
      </w:r>
      <w:hyperlink r:id="rId10" w:tgtFrame="_new" w:history="1">
        <w:r w:rsidRPr="0027045B">
          <w:rPr>
            <w:rStyle w:val="Hyperlink"/>
            <w:rFonts w:ascii="Arial Narrow" w:eastAsia="Arial Narrow" w:hAnsi="Arial Narrow" w:cs="Arial Narrow"/>
            <w:color w:val="auto"/>
            <w:u w:val="none"/>
            <w:lang w:val="en-ID"/>
          </w:rPr>
          <w:t>https://doi.org/10.15294/ujph.v10i1.36806</w:t>
        </w:r>
      </w:hyperlink>
    </w:p>
    <w:p w14:paraId="672C6AC4"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Aman, F., &amp; Yusof, K. (2022). Determinants of KMS adoption in Malaysian organizations: Evidence across various industries. </w:t>
      </w:r>
      <w:proofErr w:type="spellStart"/>
      <w:r w:rsidRPr="0027045B">
        <w:rPr>
          <w:rFonts w:ascii="Arial Narrow" w:eastAsia="Arial Narrow" w:hAnsi="Arial Narrow" w:cs="Arial Narrow"/>
          <w:i/>
          <w:iCs/>
          <w:lang w:val="en-ID"/>
        </w:rPr>
        <w:t>Kybernetes</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52</w:t>
      </w:r>
      <w:r w:rsidRPr="0027045B">
        <w:rPr>
          <w:rFonts w:ascii="Arial Narrow" w:eastAsia="Arial Narrow" w:hAnsi="Arial Narrow" w:cs="Arial Narrow"/>
          <w:lang w:val="en-ID"/>
        </w:rPr>
        <w:t xml:space="preserve">(11), 5186–5210. </w:t>
      </w:r>
      <w:hyperlink r:id="rId11" w:tgtFrame="_new" w:history="1">
        <w:r w:rsidRPr="0027045B">
          <w:rPr>
            <w:rStyle w:val="Hyperlink"/>
            <w:rFonts w:ascii="Arial Narrow" w:eastAsia="Arial Narrow" w:hAnsi="Arial Narrow" w:cs="Arial Narrow"/>
            <w:color w:val="auto"/>
            <w:u w:val="none"/>
            <w:lang w:val="en-ID"/>
          </w:rPr>
          <w:t>https://doi.org/10.1108/K-02-2022-0292</w:t>
        </w:r>
      </w:hyperlink>
    </w:p>
    <w:p w14:paraId="2E08C948"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Anning-Dorson, T. (2021). Organizational culture and leadership as antecedents to organizational flexibility: Implications for SME competitiveness. </w:t>
      </w:r>
      <w:r w:rsidRPr="0027045B">
        <w:rPr>
          <w:rFonts w:ascii="Arial Narrow" w:eastAsia="Arial Narrow" w:hAnsi="Arial Narrow" w:cs="Arial Narrow"/>
          <w:i/>
          <w:iCs/>
          <w:lang w:val="en-ID"/>
        </w:rPr>
        <w:t>Journal of Entrepreneurship in Emerging Economies</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13</w:t>
      </w:r>
      <w:r w:rsidRPr="0027045B">
        <w:rPr>
          <w:rFonts w:ascii="Arial Narrow" w:eastAsia="Arial Narrow" w:hAnsi="Arial Narrow" w:cs="Arial Narrow"/>
          <w:lang w:val="en-ID"/>
        </w:rPr>
        <w:t xml:space="preserve">(5), 1309–1325. </w:t>
      </w:r>
      <w:hyperlink r:id="rId12" w:tgtFrame="_new" w:history="1">
        <w:r w:rsidRPr="0027045B">
          <w:rPr>
            <w:rStyle w:val="Hyperlink"/>
            <w:rFonts w:ascii="Arial Narrow" w:eastAsia="Arial Narrow" w:hAnsi="Arial Narrow" w:cs="Arial Narrow"/>
            <w:color w:val="auto"/>
            <w:u w:val="none"/>
            <w:lang w:val="en-ID"/>
          </w:rPr>
          <w:t>https://doi.org/10.1108/JEEE-08-2020-0288</w:t>
        </w:r>
      </w:hyperlink>
    </w:p>
    <w:p w14:paraId="221E8E19" w14:textId="77777777"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Benamraoui</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Chatzivgeri</w:t>
      </w:r>
      <w:proofErr w:type="spellEnd"/>
      <w:r w:rsidRPr="0027045B">
        <w:rPr>
          <w:rFonts w:ascii="Arial Narrow" w:eastAsia="Arial Narrow" w:hAnsi="Arial Narrow" w:cs="Arial Narrow"/>
          <w:lang w:val="en-ID"/>
        </w:rPr>
        <w:t xml:space="preserve">, E., Jory, S. R., &amp; Ajay, R. (2024). </w:t>
      </w:r>
      <w:proofErr w:type="spellStart"/>
      <w:r w:rsidRPr="0027045B">
        <w:rPr>
          <w:rFonts w:ascii="Arial Narrow" w:eastAsia="Arial Narrow" w:hAnsi="Arial Narrow" w:cs="Arial Narrow"/>
          <w:lang w:val="en-ID"/>
        </w:rPr>
        <w:t>VfM</w:t>
      </w:r>
      <w:proofErr w:type="spellEnd"/>
      <w:r w:rsidRPr="0027045B">
        <w:rPr>
          <w:rFonts w:ascii="Arial Narrow" w:eastAsia="Arial Narrow" w:hAnsi="Arial Narrow" w:cs="Arial Narrow"/>
          <w:lang w:val="en-ID"/>
        </w:rPr>
        <w:t xml:space="preserve"> audit and the UK public sector: A critical review of the </w:t>
      </w:r>
      <w:proofErr w:type="spellStart"/>
      <w:r w:rsidRPr="0027045B">
        <w:rPr>
          <w:rFonts w:ascii="Arial Narrow" w:eastAsia="Arial Narrow" w:hAnsi="Arial Narrow" w:cs="Arial Narrow"/>
          <w:lang w:val="en-ID"/>
        </w:rPr>
        <w:t>VfM</w:t>
      </w:r>
      <w:proofErr w:type="spellEnd"/>
      <w:r w:rsidRPr="0027045B">
        <w:rPr>
          <w:rFonts w:ascii="Arial Narrow" w:eastAsia="Arial Narrow" w:hAnsi="Arial Narrow" w:cs="Arial Narrow"/>
          <w:lang w:val="en-ID"/>
        </w:rPr>
        <w:t xml:space="preserve"> reports. </w:t>
      </w:r>
      <w:r w:rsidRPr="0027045B">
        <w:rPr>
          <w:rFonts w:ascii="Arial Narrow" w:eastAsia="Arial Narrow" w:hAnsi="Arial Narrow" w:cs="Arial Narrow"/>
          <w:i/>
          <w:iCs/>
          <w:lang w:val="en-ID"/>
        </w:rPr>
        <w:t>Financial Accountability &amp; Management</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40</w:t>
      </w:r>
      <w:r w:rsidRPr="0027045B">
        <w:rPr>
          <w:rFonts w:ascii="Arial Narrow" w:eastAsia="Arial Narrow" w:hAnsi="Arial Narrow" w:cs="Arial Narrow"/>
          <w:lang w:val="en-ID"/>
        </w:rPr>
        <w:t xml:space="preserve">(2), 127–153. </w:t>
      </w:r>
      <w:hyperlink r:id="rId13" w:tgtFrame="_new" w:history="1">
        <w:r w:rsidRPr="0027045B">
          <w:rPr>
            <w:rStyle w:val="Hyperlink"/>
            <w:rFonts w:ascii="Arial Narrow" w:eastAsia="Arial Narrow" w:hAnsi="Arial Narrow" w:cs="Arial Narrow"/>
            <w:color w:val="auto"/>
            <w:u w:val="none"/>
            <w:lang w:val="en-ID"/>
          </w:rPr>
          <w:t>https://doi.org/10.1111/faam.12338</w:t>
        </w:r>
      </w:hyperlink>
    </w:p>
    <w:p w14:paraId="093E1EBD"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Chan, B., </w:t>
      </w:r>
      <w:proofErr w:type="spellStart"/>
      <w:r w:rsidRPr="0027045B">
        <w:rPr>
          <w:rFonts w:ascii="Arial Narrow" w:eastAsia="Arial Narrow" w:hAnsi="Arial Narrow" w:cs="Arial Narrow"/>
          <w:lang w:val="en-ID"/>
        </w:rPr>
        <w:t>Rallabandi</w:t>
      </w:r>
      <w:proofErr w:type="spellEnd"/>
      <w:r w:rsidRPr="0027045B">
        <w:rPr>
          <w:rFonts w:ascii="Arial Narrow" w:eastAsia="Arial Narrow" w:hAnsi="Arial Narrow" w:cs="Arial Narrow"/>
          <w:lang w:val="en-ID"/>
        </w:rPr>
        <w:t xml:space="preserve">, S., &amp; </w:t>
      </w:r>
      <w:proofErr w:type="spellStart"/>
      <w:r w:rsidRPr="0027045B">
        <w:rPr>
          <w:rFonts w:ascii="Arial Narrow" w:eastAsia="Arial Narrow" w:hAnsi="Arial Narrow" w:cs="Arial Narrow"/>
          <w:lang w:val="en-ID"/>
        </w:rPr>
        <w:t>Florizone</w:t>
      </w:r>
      <w:proofErr w:type="spellEnd"/>
      <w:r w:rsidRPr="0027045B">
        <w:rPr>
          <w:rFonts w:ascii="Arial Narrow" w:eastAsia="Arial Narrow" w:hAnsi="Arial Narrow" w:cs="Arial Narrow"/>
          <w:lang w:val="en-ID"/>
        </w:rPr>
        <w:t xml:space="preserve">, D. (2023). How timid or bold are ministries of health and provincial health authorities in Canada in planning for healthcare quality? </w:t>
      </w:r>
      <w:r w:rsidRPr="0027045B">
        <w:rPr>
          <w:rFonts w:ascii="Arial Narrow" w:eastAsia="Arial Narrow" w:hAnsi="Arial Narrow" w:cs="Arial Narrow"/>
          <w:i/>
          <w:iCs/>
          <w:lang w:val="en-ID"/>
        </w:rPr>
        <w:t>Healthcare Policy / Politiques de Santé</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19</w:t>
      </w:r>
      <w:r w:rsidRPr="0027045B">
        <w:rPr>
          <w:rFonts w:ascii="Arial Narrow" w:eastAsia="Arial Narrow" w:hAnsi="Arial Narrow" w:cs="Arial Narrow"/>
          <w:lang w:val="en-ID"/>
        </w:rPr>
        <w:t xml:space="preserve">(1), 81–98. </w:t>
      </w:r>
      <w:hyperlink r:id="rId14" w:tgtFrame="_new" w:history="1">
        <w:r w:rsidRPr="0027045B">
          <w:rPr>
            <w:rStyle w:val="Hyperlink"/>
            <w:rFonts w:ascii="Arial Narrow" w:eastAsia="Arial Narrow" w:hAnsi="Arial Narrow" w:cs="Arial Narrow"/>
            <w:color w:val="auto"/>
            <w:u w:val="none"/>
            <w:lang w:val="en-ID"/>
          </w:rPr>
          <w:t>https://doi.org/10.12927/hcpol.2023.27154</w:t>
        </w:r>
      </w:hyperlink>
    </w:p>
    <w:p w14:paraId="2F2E0158"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Farrukh, A., &amp; Sajjad, A. (2023). A critical review of literature review methodologies. </w:t>
      </w:r>
      <w:r w:rsidRPr="0027045B">
        <w:rPr>
          <w:rFonts w:ascii="Arial Narrow" w:eastAsia="Arial Narrow" w:hAnsi="Arial Narrow" w:cs="Arial Narrow"/>
          <w:i/>
          <w:iCs/>
          <w:lang w:val="en-ID"/>
        </w:rPr>
        <w:t>Advancing Methodologies of Conducting Literature Review in Management Domain</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2</w:t>
      </w:r>
      <w:r w:rsidRPr="0027045B">
        <w:rPr>
          <w:rFonts w:ascii="Arial Narrow" w:eastAsia="Arial Narrow" w:hAnsi="Arial Narrow" w:cs="Arial Narrow"/>
          <w:lang w:val="en-ID"/>
        </w:rPr>
        <w:t xml:space="preserve">, 103–123. </w:t>
      </w:r>
      <w:hyperlink r:id="rId15" w:tgtFrame="_new" w:history="1">
        <w:r w:rsidRPr="0027045B">
          <w:rPr>
            <w:rStyle w:val="Hyperlink"/>
            <w:rFonts w:ascii="Arial Narrow" w:eastAsia="Arial Narrow" w:hAnsi="Arial Narrow" w:cs="Arial Narrow"/>
            <w:color w:val="auto"/>
            <w:u w:val="none"/>
            <w:lang w:val="en-ID"/>
          </w:rPr>
          <w:t>https://doi.org/10.1108/S2754-586520230000002006</w:t>
        </w:r>
      </w:hyperlink>
    </w:p>
    <w:p w14:paraId="12F647CA" w14:textId="77777777"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Afdalisma</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&amp; </w:t>
      </w:r>
      <w:proofErr w:type="spellStart"/>
      <w:r w:rsidRPr="0027045B">
        <w:rPr>
          <w:rFonts w:ascii="Arial Narrow" w:eastAsia="Arial Narrow" w:hAnsi="Arial Narrow" w:cs="Arial Narrow"/>
          <w:lang w:val="en-ID"/>
        </w:rPr>
        <w:t>Saputra</w:t>
      </w:r>
      <w:proofErr w:type="spellEnd"/>
      <w:r w:rsidRPr="0027045B">
        <w:rPr>
          <w:rFonts w:ascii="Arial Narrow" w:eastAsia="Arial Narrow" w:hAnsi="Arial Narrow" w:cs="Arial Narrow"/>
          <w:lang w:val="en-ID"/>
        </w:rPr>
        <w:t xml:space="preserve">, B. (2024). Digital transformation of government administration: Analysis of efficiency, transparency, and challenges in Indonesia. </w:t>
      </w:r>
      <w:r w:rsidRPr="0027045B">
        <w:rPr>
          <w:rFonts w:ascii="Arial Narrow" w:eastAsia="Arial Narrow" w:hAnsi="Arial Narrow" w:cs="Arial Narrow"/>
          <w:i/>
          <w:iCs/>
          <w:lang w:val="en-ID"/>
        </w:rPr>
        <w:t>IAPA Conference Proceedings</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2024</w:t>
      </w:r>
      <w:r w:rsidRPr="0027045B">
        <w:rPr>
          <w:rFonts w:ascii="Arial Narrow" w:eastAsia="Arial Narrow" w:hAnsi="Arial Narrow" w:cs="Arial Narrow"/>
          <w:lang w:val="en-ID"/>
        </w:rPr>
        <w:t xml:space="preserve">, 82–101. </w:t>
      </w:r>
      <w:hyperlink r:id="rId16" w:tgtFrame="_new" w:history="1">
        <w:r w:rsidRPr="0027045B">
          <w:rPr>
            <w:rStyle w:val="Hyperlink"/>
            <w:rFonts w:ascii="Arial Narrow" w:eastAsia="Arial Narrow" w:hAnsi="Arial Narrow" w:cs="Arial Narrow"/>
            <w:color w:val="auto"/>
            <w:u w:val="none"/>
            <w:lang w:val="en-ID"/>
          </w:rPr>
          <w:t>https://doi.org/10.30589/proceedings.2024.1096</w:t>
        </w:r>
      </w:hyperlink>
    </w:p>
    <w:p w14:paraId="0D2CDA6A" w14:textId="61770831"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Mubarak, A., </w:t>
      </w:r>
      <w:proofErr w:type="spellStart"/>
      <w:r w:rsidRPr="0027045B">
        <w:rPr>
          <w:rFonts w:ascii="Arial Narrow" w:eastAsia="Arial Narrow" w:hAnsi="Arial Narrow" w:cs="Arial Narrow"/>
          <w:lang w:val="en-ID"/>
        </w:rPr>
        <w:t>Renaldi</w:t>
      </w:r>
      <w:proofErr w:type="spellEnd"/>
      <w:r w:rsidRPr="0027045B">
        <w:rPr>
          <w:rFonts w:ascii="Arial Narrow" w:eastAsia="Arial Narrow" w:hAnsi="Arial Narrow" w:cs="Arial Narrow"/>
          <w:lang w:val="en-ID"/>
        </w:rPr>
        <w:t xml:space="preserve">, I., </w:t>
      </w:r>
      <w:proofErr w:type="spellStart"/>
      <w:r w:rsidRPr="0027045B">
        <w:rPr>
          <w:rFonts w:ascii="Arial Narrow" w:eastAsia="Arial Narrow" w:hAnsi="Arial Narrow" w:cs="Arial Narrow"/>
          <w:lang w:val="en-ID"/>
        </w:rPr>
        <w:t>Saputra</w:t>
      </w:r>
      <w:proofErr w:type="spellEnd"/>
      <w:r w:rsidRPr="0027045B">
        <w:rPr>
          <w:rFonts w:ascii="Arial Narrow" w:eastAsia="Arial Narrow" w:hAnsi="Arial Narrow" w:cs="Arial Narrow"/>
          <w:lang w:val="en-ID"/>
        </w:rPr>
        <w:t xml:space="preserve">, B.,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w:t>
      </w:r>
      <w:proofErr w:type="spellStart"/>
      <w:r w:rsidRPr="0027045B">
        <w:rPr>
          <w:rFonts w:ascii="Arial Narrow" w:eastAsia="Arial Narrow" w:hAnsi="Arial Narrow" w:cs="Arial Narrow"/>
          <w:lang w:val="en-ID"/>
        </w:rPr>
        <w:t>Afdalisma</w:t>
      </w:r>
      <w:proofErr w:type="spellEnd"/>
      <w:r w:rsidRPr="0027045B">
        <w:rPr>
          <w:rFonts w:ascii="Arial Narrow" w:eastAsia="Arial Narrow" w:hAnsi="Arial Narrow" w:cs="Arial Narrow"/>
          <w:lang w:val="en-ID"/>
        </w:rPr>
        <w:t xml:space="preserve">, &amp; </w:t>
      </w:r>
      <w:proofErr w:type="spellStart"/>
      <w:r w:rsidRPr="0027045B">
        <w:rPr>
          <w:rFonts w:ascii="Arial Narrow" w:eastAsia="Arial Narrow" w:hAnsi="Arial Narrow" w:cs="Arial Narrow"/>
          <w:lang w:val="en-ID"/>
        </w:rPr>
        <w:t>Syolendra</w:t>
      </w:r>
      <w:proofErr w:type="spellEnd"/>
      <w:r w:rsidRPr="0027045B">
        <w:rPr>
          <w:rFonts w:ascii="Arial Narrow" w:eastAsia="Arial Narrow" w:hAnsi="Arial Narrow" w:cs="Arial Narrow"/>
          <w:lang w:val="en-ID"/>
        </w:rPr>
        <w:t xml:space="preserve">, D. F. (2025). Developing local initiatives for waste management: A community empowerment approach in Sungai </w:t>
      </w:r>
      <w:proofErr w:type="spellStart"/>
      <w:r w:rsidRPr="0027045B">
        <w:rPr>
          <w:rFonts w:ascii="Arial Narrow" w:eastAsia="Arial Narrow" w:hAnsi="Arial Narrow" w:cs="Arial Narrow"/>
          <w:lang w:val="en-ID"/>
        </w:rPr>
        <w:t>Batang</w:t>
      </w:r>
      <w:proofErr w:type="spellEnd"/>
      <w:r w:rsidRPr="0027045B">
        <w:rPr>
          <w:rFonts w:ascii="Arial Narrow" w:eastAsia="Arial Narrow" w:hAnsi="Arial Narrow" w:cs="Arial Narrow"/>
          <w:lang w:val="en-ID"/>
        </w:rPr>
        <w:t xml:space="preserve"> Village, </w:t>
      </w:r>
      <w:proofErr w:type="spellStart"/>
      <w:r w:rsidRPr="0027045B">
        <w:rPr>
          <w:rFonts w:ascii="Arial Narrow" w:eastAsia="Arial Narrow" w:hAnsi="Arial Narrow" w:cs="Arial Narrow"/>
          <w:lang w:val="en-ID"/>
        </w:rPr>
        <w:t>Maninjau</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IOP Conference Series: Earth and Environmental Science</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1556</w:t>
      </w:r>
      <w:r w:rsidRPr="0027045B">
        <w:rPr>
          <w:rFonts w:ascii="Arial Narrow" w:eastAsia="Arial Narrow" w:hAnsi="Arial Narrow" w:cs="Arial Narrow"/>
          <w:lang w:val="en-ID"/>
        </w:rPr>
        <w:t xml:space="preserve">(1), 012077. </w:t>
      </w:r>
      <w:hyperlink r:id="rId17" w:tgtFrame="_new" w:history="1">
        <w:r w:rsidRPr="0027045B">
          <w:rPr>
            <w:rStyle w:val="Hyperlink"/>
            <w:rFonts w:ascii="Arial Narrow" w:eastAsia="Arial Narrow" w:hAnsi="Arial Narrow" w:cs="Arial Narrow"/>
            <w:color w:val="auto"/>
            <w:u w:val="none"/>
            <w:lang w:val="en-ID"/>
          </w:rPr>
          <w:t>https://doi.org/10.1088/1755-1315/1556/1/012077</w:t>
        </w:r>
      </w:hyperlink>
      <w:r w:rsidR="0027045B">
        <w:rPr>
          <w:rStyle w:val="Hyperlink"/>
          <w:rFonts w:ascii="Arial Narrow" w:eastAsia="Arial Narrow" w:hAnsi="Arial Narrow" w:cs="Arial Narrow"/>
          <w:color w:val="auto"/>
          <w:u w:val="none"/>
          <w:lang w:val="en-ID"/>
        </w:rPr>
        <w:t>.</w:t>
      </w:r>
    </w:p>
    <w:p w14:paraId="0CC3D9AC" w14:textId="2295A210"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Mubarak, A.,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w:t>
      </w:r>
      <w:proofErr w:type="spellStart"/>
      <w:r w:rsidRPr="0027045B">
        <w:rPr>
          <w:rFonts w:ascii="Arial Narrow" w:eastAsia="Arial Narrow" w:hAnsi="Arial Narrow" w:cs="Arial Narrow"/>
          <w:lang w:val="en-ID"/>
        </w:rPr>
        <w:t>Rista</w:t>
      </w:r>
      <w:proofErr w:type="spellEnd"/>
      <w:r w:rsidRPr="0027045B">
        <w:rPr>
          <w:rFonts w:ascii="Arial Narrow" w:eastAsia="Arial Narrow" w:hAnsi="Arial Narrow" w:cs="Arial Narrow"/>
          <w:lang w:val="en-ID"/>
        </w:rPr>
        <w:t xml:space="preserve">, M., Helmi, R. F., &amp; </w:t>
      </w:r>
      <w:proofErr w:type="spellStart"/>
      <w:r w:rsidRPr="0027045B">
        <w:rPr>
          <w:rFonts w:ascii="Arial Narrow" w:eastAsia="Arial Narrow" w:hAnsi="Arial Narrow" w:cs="Arial Narrow"/>
          <w:lang w:val="en-ID"/>
        </w:rPr>
        <w:t>Wilis</w:t>
      </w:r>
      <w:proofErr w:type="spellEnd"/>
      <w:r w:rsidRPr="0027045B">
        <w:rPr>
          <w:rFonts w:ascii="Arial Narrow" w:eastAsia="Arial Narrow" w:hAnsi="Arial Narrow" w:cs="Arial Narrow"/>
          <w:lang w:val="en-ID"/>
        </w:rPr>
        <w:t xml:space="preserve">, R. (2024). Analysis of community-based sanitation implementation in </w:t>
      </w:r>
      <w:proofErr w:type="spellStart"/>
      <w:r w:rsidRPr="0027045B">
        <w:rPr>
          <w:rFonts w:ascii="Arial Narrow" w:eastAsia="Arial Narrow" w:hAnsi="Arial Narrow" w:cs="Arial Narrow"/>
          <w:lang w:val="en-ID"/>
        </w:rPr>
        <w:t>Pariaman</w:t>
      </w:r>
      <w:proofErr w:type="spellEnd"/>
      <w:r w:rsidRPr="0027045B">
        <w:rPr>
          <w:rFonts w:ascii="Arial Narrow" w:eastAsia="Arial Narrow" w:hAnsi="Arial Narrow" w:cs="Arial Narrow"/>
          <w:lang w:val="en-ID"/>
        </w:rPr>
        <w:t xml:space="preserve"> City. </w:t>
      </w:r>
      <w:r w:rsidRPr="0027045B">
        <w:rPr>
          <w:rFonts w:ascii="Arial Narrow" w:eastAsia="Arial Narrow" w:hAnsi="Arial Narrow" w:cs="Arial Narrow"/>
          <w:i/>
          <w:iCs/>
          <w:lang w:val="en-ID"/>
        </w:rPr>
        <w:t>IOP Conference Series: Earth and Environmental Science</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1414</w:t>
      </w:r>
      <w:r w:rsidRPr="0027045B">
        <w:rPr>
          <w:rFonts w:ascii="Arial Narrow" w:eastAsia="Arial Narrow" w:hAnsi="Arial Narrow" w:cs="Arial Narrow"/>
          <w:lang w:val="en-ID"/>
        </w:rPr>
        <w:t xml:space="preserve">(1), 012081. </w:t>
      </w:r>
      <w:hyperlink r:id="rId18" w:tgtFrame="_new" w:history="1">
        <w:r w:rsidRPr="0027045B">
          <w:rPr>
            <w:rStyle w:val="Hyperlink"/>
            <w:rFonts w:ascii="Arial Narrow" w:eastAsia="Arial Narrow" w:hAnsi="Arial Narrow" w:cs="Arial Narrow"/>
            <w:color w:val="auto"/>
            <w:u w:val="none"/>
            <w:lang w:val="en-ID"/>
          </w:rPr>
          <w:t>https://doi.org/10.1088/1755-1315/1414/1/012081</w:t>
        </w:r>
      </w:hyperlink>
      <w:r w:rsidR="0027045B">
        <w:rPr>
          <w:rStyle w:val="Hyperlink"/>
          <w:rFonts w:ascii="Arial Narrow" w:eastAsia="Arial Narrow" w:hAnsi="Arial Narrow" w:cs="Arial Narrow"/>
          <w:color w:val="auto"/>
          <w:u w:val="none"/>
          <w:lang w:val="en-ID"/>
        </w:rPr>
        <w:t>.</w:t>
      </w:r>
    </w:p>
    <w:p w14:paraId="508241B2" w14:textId="67269CB1"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Mubarak, A., Putri, N. E., </w:t>
      </w:r>
      <w:proofErr w:type="spellStart"/>
      <w:r w:rsidRPr="0027045B">
        <w:rPr>
          <w:rFonts w:ascii="Arial Narrow" w:eastAsia="Arial Narrow" w:hAnsi="Arial Narrow" w:cs="Arial Narrow"/>
          <w:lang w:val="en-ID"/>
        </w:rPr>
        <w:t>Saputra</w:t>
      </w:r>
      <w:proofErr w:type="spellEnd"/>
      <w:r w:rsidRPr="0027045B">
        <w:rPr>
          <w:rFonts w:ascii="Arial Narrow" w:eastAsia="Arial Narrow" w:hAnsi="Arial Narrow" w:cs="Arial Narrow"/>
          <w:lang w:val="en-ID"/>
        </w:rPr>
        <w:t xml:space="preserve">, B., &amp; </w:t>
      </w:r>
      <w:proofErr w:type="spellStart"/>
      <w:r w:rsidRPr="0027045B">
        <w:rPr>
          <w:rFonts w:ascii="Arial Narrow" w:eastAsia="Arial Narrow" w:hAnsi="Arial Narrow" w:cs="Arial Narrow"/>
          <w:lang w:val="en-ID"/>
        </w:rPr>
        <w:t>Renaldi</w:t>
      </w:r>
      <w:proofErr w:type="spellEnd"/>
      <w:r w:rsidRPr="0027045B">
        <w:rPr>
          <w:rFonts w:ascii="Arial Narrow" w:eastAsia="Arial Narrow" w:hAnsi="Arial Narrow" w:cs="Arial Narrow"/>
          <w:lang w:val="en-ID"/>
        </w:rPr>
        <w:t xml:space="preserve">, I. (2025). From education to transformation: Uncovering the mechanisms of strengthening environmental health literacy through the implementation of the </w:t>
      </w:r>
      <w:proofErr w:type="spellStart"/>
      <w:r w:rsidRPr="0027045B">
        <w:rPr>
          <w:rFonts w:ascii="Arial Narrow" w:eastAsia="Arial Narrow" w:hAnsi="Arial Narrow" w:cs="Arial Narrow"/>
          <w:lang w:val="en-ID"/>
        </w:rPr>
        <w:t>Adiwiyata</w:t>
      </w:r>
      <w:proofErr w:type="spellEnd"/>
      <w:r w:rsidRPr="0027045B">
        <w:rPr>
          <w:rFonts w:ascii="Arial Narrow" w:eastAsia="Arial Narrow" w:hAnsi="Arial Narrow" w:cs="Arial Narrow"/>
          <w:lang w:val="en-ID"/>
        </w:rPr>
        <w:t xml:space="preserve"> program. </w:t>
      </w:r>
      <w:r w:rsidRPr="0027045B">
        <w:rPr>
          <w:rFonts w:ascii="Arial Narrow" w:eastAsia="Arial Narrow" w:hAnsi="Arial Narrow" w:cs="Arial Narrow"/>
          <w:i/>
          <w:iCs/>
          <w:lang w:val="en-ID"/>
        </w:rPr>
        <w:t>Seminars in Medical Writing and Education</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4</w:t>
      </w:r>
      <w:r w:rsidRPr="0027045B">
        <w:rPr>
          <w:rFonts w:ascii="Arial Narrow" w:eastAsia="Arial Narrow" w:hAnsi="Arial Narrow" w:cs="Arial Narrow"/>
          <w:lang w:val="en-ID"/>
        </w:rPr>
        <w:t xml:space="preserve">, 914. </w:t>
      </w:r>
      <w:hyperlink r:id="rId19" w:tgtFrame="_new" w:history="1">
        <w:r w:rsidRPr="0027045B">
          <w:rPr>
            <w:rStyle w:val="Hyperlink"/>
            <w:rFonts w:ascii="Arial Narrow" w:eastAsia="Arial Narrow" w:hAnsi="Arial Narrow" w:cs="Arial Narrow"/>
            <w:color w:val="auto"/>
            <w:u w:val="none"/>
            <w:lang w:val="en-ID"/>
          </w:rPr>
          <w:t>https://doi.org/10.56294/mw2025914</w:t>
        </w:r>
      </w:hyperlink>
      <w:r w:rsidR="0027045B">
        <w:rPr>
          <w:rStyle w:val="Hyperlink"/>
          <w:rFonts w:ascii="Arial Narrow" w:eastAsia="Arial Narrow" w:hAnsi="Arial Narrow" w:cs="Arial Narrow"/>
          <w:color w:val="auto"/>
          <w:u w:val="none"/>
          <w:lang w:val="en-ID"/>
        </w:rPr>
        <w:t>.</w:t>
      </w:r>
    </w:p>
    <w:p w14:paraId="301F3BEE" w14:textId="18E01231"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lastRenderedPageBreak/>
        <w:t>Frinaldi</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Vanny</w:t>
      </w:r>
      <w:proofErr w:type="spellEnd"/>
      <w:r w:rsidRPr="0027045B">
        <w:rPr>
          <w:rFonts w:ascii="Arial Narrow" w:eastAsia="Arial Narrow" w:hAnsi="Arial Narrow" w:cs="Arial Narrow"/>
          <w:lang w:val="en-ID"/>
        </w:rPr>
        <w:t xml:space="preserve">, D., &amp;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(2025). Multidimensional collaboration in post-disaster recovery: The role of international NGOs and local CSOs in </w:t>
      </w:r>
      <w:proofErr w:type="spellStart"/>
      <w:r w:rsidRPr="0027045B">
        <w:rPr>
          <w:rFonts w:ascii="Arial Narrow" w:eastAsia="Arial Narrow" w:hAnsi="Arial Narrow" w:cs="Arial Narrow"/>
          <w:lang w:val="en-ID"/>
        </w:rPr>
        <w:t>Agam</w:t>
      </w:r>
      <w:proofErr w:type="spellEnd"/>
      <w:r w:rsidRPr="0027045B">
        <w:rPr>
          <w:rFonts w:ascii="Arial Narrow" w:eastAsia="Arial Narrow" w:hAnsi="Arial Narrow" w:cs="Arial Narrow"/>
          <w:lang w:val="en-ID"/>
        </w:rPr>
        <w:t xml:space="preserve"> Regency, Indonesia. </w:t>
      </w:r>
      <w:r w:rsidRPr="0027045B">
        <w:rPr>
          <w:rFonts w:ascii="Arial Narrow" w:eastAsia="Arial Narrow" w:hAnsi="Arial Narrow" w:cs="Arial Narrow"/>
          <w:i/>
          <w:iCs/>
          <w:lang w:val="en-ID"/>
        </w:rPr>
        <w:t>E3S Web of Conferences</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677</w:t>
      </w:r>
      <w:r w:rsidRPr="0027045B">
        <w:rPr>
          <w:rFonts w:ascii="Arial Narrow" w:eastAsia="Arial Narrow" w:hAnsi="Arial Narrow" w:cs="Arial Narrow"/>
          <w:lang w:val="en-ID"/>
        </w:rPr>
        <w:t xml:space="preserve">, 02006. </w:t>
      </w:r>
      <w:hyperlink r:id="rId20" w:tgtFrame="_new" w:history="1">
        <w:r w:rsidRPr="0027045B">
          <w:rPr>
            <w:rStyle w:val="Hyperlink"/>
            <w:rFonts w:ascii="Arial Narrow" w:eastAsia="Arial Narrow" w:hAnsi="Arial Narrow" w:cs="Arial Narrow"/>
            <w:color w:val="auto"/>
            <w:u w:val="none"/>
            <w:lang w:val="en-ID"/>
          </w:rPr>
          <w:t>https://doi.org/10.1051/e3sconf/202567702006</w:t>
        </w:r>
      </w:hyperlink>
      <w:r w:rsidR="0027045B">
        <w:rPr>
          <w:rStyle w:val="Hyperlink"/>
          <w:rFonts w:ascii="Arial Narrow" w:eastAsia="Arial Narrow" w:hAnsi="Arial Narrow" w:cs="Arial Narrow"/>
          <w:color w:val="auto"/>
          <w:u w:val="none"/>
          <w:lang w:val="en-ID"/>
        </w:rPr>
        <w:t>.</w:t>
      </w:r>
    </w:p>
    <w:p w14:paraId="394AF360" w14:textId="77777777"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Jarrar</w:t>
      </w:r>
      <w:proofErr w:type="spellEnd"/>
      <w:r w:rsidRPr="0027045B">
        <w:rPr>
          <w:rFonts w:ascii="Arial Narrow" w:eastAsia="Arial Narrow" w:hAnsi="Arial Narrow" w:cs="Arial Narrow"/>
          <w:lang w:val="en-ID"/>
        </w:rPr>
        <w:t xml:space="preserve">, T., &amp; Ibrahim, H. (2021). The relationship between organizational ethical climate and organizational trust in Palestinian ministries: An empirical approach. </w:t>
      </w:r>
      <w:r w:rsidRPr="0027045B">
        <w:rPr>
          <w:rFonts w:ascii="Arial Narrow" w:eastAsia="Arial Narrow" w:hAnsi="Arial Narrow" w:cs="Arial Narrow"/>
          <w:i/>
          <w:iCs/>
          <w:lang w:val="en-ID"/>
        </w:rPr>
        <w:t>Journal of Public Administration and Governance</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11</w:t>
      </w:r>
      <w:r w:rsidRPr="0027045B">
        <w:rPr>
          <w:rFonts w:ascii="Arial Narrow" w:eastAsia="Arial Narrow" w:hAnsi="Arial Narrow" w:cs="Arial Narrow"/>
          <w:lang w:val="en-ID"/>
        </w:rPr>
        <w:t xml:space="preserve">(1), 164–176. </w:t>
      </w:r>
      <w:hyperlink r:id="rId21" w:tgtFrame="_new" w:history="1">
        <w:r w:rsidRPr="0027045B">
          <w:rPr>
            <w:rStyle w:val="Hyperlink"/>
            <w:rFonts w:ascii="Arial Narrow" w:eastAsia="Arial Narrow" w:hAnsi="Arial Narrow" w:cs="Arial Narrow"/>
            <w:color w:val="auto"/>
            <w:u w:val="none"/>
            <w:lang w:val="en-ID"/>
          </w:rPr>
          <w:t>https://doi.org/10.5296/jpag.v11i1.18197</w:t>
        </w:r>
      </w:hyperlink>
    </w:p>
    <w:p w14:paraId="0B678285" w14:textId="36168459"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Kagan</w:t>
      </w:r>
      <w:proofErr w:type="spellEnd"/>
      <w:r w:rsidRPr="0027045B">
        <w:rPr>
          <w:rFonts w:ascii="Arial Narrow" w:eastAsia="Arial Narrow" w:hAnsi="Arial Narrow" w:cs="Arial Narrow"/>
          <w:lang w:val="en-ID"/>
        </w:rPr>
        <w:t xml:space="preserve">, J. A., &amp; Dodge, J. (2025). </w:t>
      </w:r>
      <w:proofErr w:type="spellStart"/>
      <w:r w:rsidRPr="0027045B">
        <w:rPr>
          <w:rFonts w:ascii="Arial Narrow" w:eastAsia="Arial Narrow" w:hAnsi="Arial Narrow" w:cs="Arial Narrow"/>
          <w:lang w:val="en-ID"/>
        </w:rPr>
        <w:t>Centering</w:t>
      </w:r>
      <w:proofErr w:type="spellEnd"/>
      <w:r w:rsidRPr="0027045B">
        <w:rPr>
          <w:rFonts w:ascii="Arial Narrow" w:eastAsia="Arial Narrow" w:hAnsi="Arial Narrow" w:cs="Arial Narrow"/>
          <w:lang w:val="en-ID"/>
        </w:rPr>
        <w:t xml:space="preserve"> third-sector organizations in the environmental crisis: A critical review and agenda for future research. </w:t>
      </w:r>
      <w:proofErr w:type="spellStart"/>
      <w:r w:rsidRPr="0027045B">
        <w:rPr>
          <w:rFonts w:ascii="Arial Narrow" w:eastAsia="Arial Narrow" w:hAnsi="Arial Narrow" w:cs="Arial Narrow"/>
          <w:i/>
          <w:iCs/>
          <w:lang w:val="en-ID"/>
        </w:rPr>
        <w:t>Nonprofit</w:t>
      </w:r>
      <w:proofErr w:type="spellEnd"/>
      <w:r w:rsidRPr="0027045B">
        <w:rPr>
          <w:rFonts w:ascii="Arial Narrow" w:eastAsia="Arial Narrow" w:hAnsi="Arial Narrow" w:cs="Arial Narrow"/>
          <w:i/>
          <w:iCs/>
          <w:lang w:val="en-ID"/>
        </w:rPr>
        <w:t xml:space="preserve"> Management and Leadership</w:t>
      </w:r>
      <w:r w:rsidRPr="0027045B">
        <w:rPr>
          <w:rFonts w:ascii="Arial Narrow" w:eastAsia="Arial Narrow" w:hAnsi="Arial Narrow" w:cs="Arial Narrow"/>
          <w:lang w:val="en-ID"/>
        </w:rPr>
        <w:t xml:space="preserve">. Advance online publication. </w:t>
      </w:r>
      <w:hyperlink r:id="rId22" w:tgtFrame="_new" w:history="1">
        <w:r w:rsidRPr="0027045B">
          <w:rPr>
            <w:rStyle w:val="Hyperlink"/>
            <w:rFonts w:ascii="Arial Narrow" w:eastAsia="Arial Narrow" w:hAnsi="Arial Narrow" w:cs="Arial Narrow"/>
            <w:color w:val="auto"/>
            <w:u w:val="none"/>
            <w:lang w:val="en-ID"/>
          </w:rPr>
          <w:t>https://doi.org/10.1002/nml.70006</w:t>
        </w:r>
      </w:hyperlink>
      <w:r w:rsidR="0027045B">
        <w:rPr>
          <w:rStyle w:val="Hyperlink"/>
          <w:rFonts w:ascii="Arial Narrow" w:eastAsia="Arial Narrow" w:hAnsi="Arial Narrow" w:cs="Arial Narrow"/>
          <w:color w:val="auto"/>
          <w:u w:val="none"/>
          <w:lang w:val="en-ID"/>
        </w:rPr>
        <w:t>.</w:t>
      </w:r>
    </w:p>
    <w:p w14:paraId="1D06D739" w14:textId="77777777"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Lechuga</w:t>
      </w:r>
      <w:proofErr w:type="spellEnd"/>
      <w:r w:rsidRPr="0027045B">
        <w:rPr>
          <w:rFonts w:ascii="Arial Narrow" w:eastAsia="Arial Narrow" w:hAnsi="Arial Narrow" w:cs="Arial Narrow"/>
          <w:lang w:val="en-ID"/>
        </w:rPr>
        <w:t xml:space="preserve">, M., &amp; Aswad, N. G. (2024). Decolonization as a metaphor, not a movement, in communication studies: A critical thematic meta-analysis of the discipline. </w:t>
      </w:r>
      <w:r w:rsidRPr="0027045B">
        <w:rPr>
          <w:rFonts w:ascii="Arial Narrow" w:eastAsia="Arial Narrow" w:hAnsi="Arial Narrow" w:cs="Arial Narrow"/>
          <w:i/>
          <w:iCs/>
          <w:lang w:val="en-ID"/>
        </w:rPr>
        <w:t>Communication Studies</w:t>
      </w:r>
      <w:r w:rsidRPr="0027045B">
        <w:rPr>
          <w:rFonts w:ascii="Arial Narrow" w:eastAsia="Arial Narrow" w:hAnsi="Arial Narrow" w:cs="Arial Narrow"/>
          <w:lang w:val="en-ID"/>
        </w:rPr>
        <w:t xml:space="preserve">. Advance online publication. </w:t>
      </w:r>
      <w:hyperlink r:id="rId23" w:tgtFrame="_new" w:history="1">
        <w:r w:rsidRPr="0027045B">
          <w:rPr>
            <w:rStyle w:val="Hyperlink"/>
            <w:rFonts w:ascii="Arial Narrow" w:eastAsia="Arial Narrow" w:hAnsi="Arial Narrow" w:cs="Arial Narrow"/>
            <w:color w:val="auto"/>
            <w:u w:val="none"/>
            <w:lang w:val="en-ID"/>
          </w:rPr>
          <w:t>https://doi.org/10.1080/10510974.2024.2348300</w:t>
        </w:r>
      </w:hyperlink>
    </w:p>
    <w:p w14:paraId="2A7B744F" w14:textId="75EA3C41"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Lubis</w:t>
      </w:r>
      <w:proofErr w:type="spellEnd"/>
      <w:r w:rsidRPr="0027045B">
        <w:rPr>
          <w:rFonts w:ascii="Arial Narrow" w:eastAsia="Arial Narrow" w:hAnsi="Arial Narrow" w:cs="Arial Narrow"/>
          <w:lang w:val="en-ID"/>
        </w:rPr>
        <w:t xml:space="preserve">, N., &amp; </w:t>
      </w:r>
      <w:proofErr w:type="spellStart"/>
      <w:r w:rsidRPr="0027045B">
        <w:rPr>
          <w:rFonts w:ascii="Arial Narrow" w:eastAsia="Arial Narrow" w:hAnsi="Arial Narrow" w:cs="Arial Narrow"/>
          <w:lang w:val="en-ID"/>
        </w:rPr>
        <w:t>Ginting</w:t>
      </w:r>
      <w:proofErr w:type="spellEnd"/>
      <w:r w:rsidRPr="0027045B">
        <w:rPr>
          <w:rFonts w:ascii="Arial Narrow" w:eastAsia="Arial Narrow" w:hAnsi="Arial Narrow" w:cs="Arial Narrow"/>
          <w:lang w:val="en-ID"/>
        </w:rPr>
        <w:t xml:space="preserve">, S. (2022). Quality of service issuance of trading business licenses at the One-Stop Integrated Service and Investment Department of Medan City. </w:t>
      </w:r>
      <w:proofErr w:type="spellStart"/>
      <w:r w:rsidRPr="0027045B">
        <w:rPr>
          <w:rFonts w:ascii="Arial Narrow" w:eastAsia="Arial Narrow" w:hAnsi="Arial Narrow" w:cs="Arial Narrow"/>
          <w:i/>
          <w:iCs/>
          <w:lang w:val="en-ID"/>
        </w:rPr>
        <w:t>Konfrontasi</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Jurnal</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Kultural</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Ekonomi</w:t>
      </w:r>
      <w:proofErr w:type="spellEnd"/>
      <w:r w:rsidRPr="0027045B">
        <w:rPr>
          <w:rFonts w:ascii="Arial Narrow" w:eastAsia="Arial Narrow" w:hAnsi="Arial Narrow" w:cs="Arial Narrow"/>
          <w:i/>
          <w:iCs/>
          <w:lang w:val="en-ID"/>
        </w:rPr>
        <w:t xml:space="preserve">, dan </w:t>
      </w:r>
      <w:proofErr w:type="spellStart"/>
      <w:r w:rsidRPr="0027045B">
        <w:rPr>
          <w:rFonts w:ascii="Arial Narrow" w:eastAsia="Arial Narrow" w:hAnsi="Arial Narrow" w:cs="Arial Narrow"/>
          <w:i/>
          <w:iCs/>
          <w:lang w:val="en-ID"/>
        </w:rPr>
        <w:t>Perubahan</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Sosial</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9</w:t>
      </w:r>
      <w:r w:rsidRPr="0027045B">
        <w:rPr>
          <w:rFonts w:ascii="Arial Narrow" w:eastAsia="Arial Narrow" w:hAnsi="Arial Narrow" w:cs="Arial Narrow"/>
          <w:lang w:val="en-ID"/>
        </w:rPr>
        <w:t xml:space="preserve">(3), 464–471. </w:t>
      </w:r>
      <w:hyperlink r:id="rId24" w:tgtFrame="_new" w:history="1">
        <w:r w:rsidRPr="0027045B">
          <w:rPr>
            <w:rStyle w:val="Hyperlink"/>
            <w:rFonts w:ascii="Arial Narrow" w:eastAsia="Arial Narrow" w:hAnsi="Arial Narrow" w:cs="Arial Narrow"/>
            <w:color w:val="auto"/>
            <w:u w:val="none"/>
            <w:lang w:val="en-ID"/>
          </w:rPr>
          <w:t>https://doi.org/10.33258/konfrontasi2.v9i3.241</w:t>
        </w:r>
      </w:hyperlink>
      <w:r w:rsidR="0027045B">
        <w:rPr>
          <w:rStyle w:val="Hyperlink"/>
          <w:rFonts w:ascii="Arial Narrow" w:eastAsia="Arial Narrow" w:hAnsi="Arial Narrow" w:cs="Arial Narrow"/>
          <w:color w:val="auto"/>
          <w:u w:val="none"/>
          <w:lang w:val="en-ID"/>
        </w:rPr>
        <w:t>.</w:t>
      </w:r>
    </w:p>
    <w:p w14:paraId="5D29C2EE" w14:textId="36C67102"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Mattos, M., </w:t>
      </w:r>
      <w:proofErr w:type="spellStart"/>
      <w:r w:rsidRPr="0027045B">
        <w:rPr>
          <w:rFonts w:ascii="Arial Narrow" w:eastAsia="Arial Narrow" w:hAnsi="Arial Narrow" w:cs="Arial Narrow"/>
          <w:lang w:val="en-ID"/>
        </w:rPr>
        <w:t>Mosqueiro</w:t>
      </w:r>
      <w:proofErr w:type="spellEnd"/>
      <w:r w:rsidRPr="0027045B">
        <w:rPr>
          <w:rFonts w:ascii="Arial Narrow" w:eastAsia="Arial Narrow" w:hAnsi="Arial Narrow" w:cs="Arial Narrow"/>
          <w:lang w:val="en-ID"/>
        </w:rPr>
        <w:t xml:space="preserve">, B., Stuart, S., </w:t>
      </w:r>
      <w:proofErr w:type="spellStart"/>
      <w:r w:rsidRPr="0027045B">
        <w:rPr>
          <w:rFonts w:ascii="Arial Narrow" w:eastAsia="Arial Narrow" w:hAnsi="Arial Narrow" w:cs="Arial Narrow"/>
          <w:lang w:val="en-ID"/>
        </w:rPr>
        <w:t>Salum</w:t>
      </w:r>
      <w:proofErr w:type="spellEnd"/>
      <w:r w:rsidRPr="0027045B">
        <w:rPr>
          <w:rFonts w:ascii="Arial Narrow" w:eastAsia="Arial Narrow" w:hAnsi="Arial Narrow" w:cs="Arial Narrow"/>
          <w:lang w:val="en-ID"/>
        </w:rPr>
        <w:t xml:space="preserve">, G., </w:t>
      </w:r>
      <w:proofErr w:type="spellStart"/>
      <w:r w:rsidRPr="0027045B">
        <w:rPr>
          <w:rFonts w:ascii="Arial Narrow" w:eastAsia="Arial Narrow" w:hAnsi="Arial Narrow" w:cs="Arial Narrow"/>
          <w:lang w:val="en-ID"/>
        </w:rPr>
        <w:t>Duzzo</w:t>
      </w:r>
      <w:proofErr w:type="spellEnd"/>
      <w:r w:rsidRPr="0027045B">
        <w:rPr>
          <w:rFonts w:ascii="Arial Narrow" w:eastAsia="Arial Narrow" w:hAnsi="Arial Narrow" w:cs="Arial Narrow"/>
          <w:lang w:val="en-ID"/>
        </w:rPr>
        <w:t xml:space="preserve">, R., Souza, L., … Fleck, M. (2022). Implementation of group interpersonal psychotherapy in primary care. </w:t>
      </w:r>
      <w:proofErr w:type="spellStart"/>
      <w:r w:rsidRPr="0027045B">
        <w:rPr>
          <w:rFonts w:ascii="Arial Narrow" w:eastAsia="Arial Narrow" w:hAnsi="Arial Narrow" w:cs="Arial Narrow"/>
          <w:i/>
          <w:iCs/>
          <w:lang w:val="en-ID"/>
        </w:rPr>
        <w:t>Revista</w:t>
      </w:r>
      <w:proofErr w:type="spellEnd"/>
      <w:r w:rsidRPr="0027045B">
        <w:rPr>
          <w:rFonts w:ascii="Arial Narrow" w:eastAsia="Arial Narrow" w:hAnsi="Arial Narrow" w:cs="Arial Narrow"/>
          <w:i/>
          <w:iCs/>
          <w:lang w:val="en-ID"/>
        </w:rPr>
        <w:t xml:space="preserve"> de </w:t>
      </w:r>
      <w:proofErr w:type="spellStart"/>
      <w:r w:rsidRPr="0027045B">
        <w:rPr>
          <w:rFonts w:ascii="Arial Narrow" w:eastAsia="Arial Narrow" w:hAnsi="Arial Narrow" w:cs="Arial Narrow"/>
          <w:i/>
          <w:iCs/>
          <w:lang w:val="en-ID"/>
        </w:rPr>
        <w:t>Saúde</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Pública</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56</w:t>
      </w:r>
      <w:r w:rsidRPr="0027045B">
        <w:rPr>
          <w:rFonts w:ascii="Arial Narrow" w:eastAsia="Arial Narrow" w:hAnsi="Arial Narrow" w:cs="Arial Narrow"/>
          <w:lang w:val="en-ID"/>
        </w:rPr>
        <w:t xml:space="preserve">, 23. </w:t>
      </w:r>
      <w:hyperlink r:id="rId25" w:tgtFrame="_new" w:history="1">
        <w:r w:rsidRPr="0027045B">
          <w:rPr>
            <w:rStyle w:val="Hyperlink"/>
            <w:rFonts w:ascii="Arial Narrow" w:eastAsia="Arial Narrow" w:hAnsi="Arial Narrow" w:cs="Arial Narrow"/>
            <w:color w:val="auto"/>
            <w:u w:val="none"/>
            <w:lang w:val="en-ID"/>
          </w:rPr>
          <w:t>https://doi.org/10.11606/s1518-8787.2022056003731</w:t>
        </w:r>
      </w:hyperlink>
      <w:r w:rsidR="0027045B">
        <w:rPr>
          <w:rStyle w:val="Hyperlink"/>
          <w:rFonts w:ascii="Arial Narrow" w:eastAsia="Arial Narrow" w:hAnsi="Arial Narrow" w:cs="Arial Narrow"/>
          <w:color w:val="auto"/>
          <w:u w:val="none"/>
          <w:lang w:val="en-ID"/>
        </w:rPr>
        <w:t>.</w:t>
      </w:r>
    </w:p>
    <w:p w14:paraId="26280233" w14:textId="75C58D30"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Mubarak, A., </w:t>
      </w: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w:t>
      </w:r>
      <w:proofErr w:type="spellStart"/>
      <w:r w:rsidRPr="0027045B">
        <w:rPr>
          <w:rFonts w:ascii="Arial Narrow" w:eastAsia="Arial Narrow" w:hAnsi="Arial Narrow" w:cs="Arial Narrow"/>
          <w:lang w:val="en-ID"/>
        </w:rPr>
        <w:t>Syamsir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Syolendra</w:t>
      </w:r>
      <w:proofErr w:type="spellEnd"/>
      <w:r w:rsidRPr="0027045B">
        <w:rPr>
          <w:rFonts w:ascii="Arial Narrow" w:eastAsia="Arial Narrow" w:hAnsi="Arial Narrow" w:cs="Arial Narrow"/>
          <w:lang w:val="en-ID"/>
        </w:rPr>
        <w:t xml:space="preserve">, D. F., </w:t>
      </w:r>
      <w:proofErr w:type="spellStart"/>
      <w:r w:rsidRPr="0027045B">
        <w:rPr>
          <w:rFonts w:ascii="Arial Narrow" w:eastAsia="Arial Narrow" w:hAnsi="Arial Narrow" w:cs="Arial Narrow"/>
          <w:lang w:val="en-ID"/>
        </w:rPr>
        <w:t>Fitriyanti</w:t>
      </w:r>
      <w:proofErr w:type="spellEnd"/>
      <w:r w:rsidRPr="0027045B">
        <w:rPr>
          <w:rFonts w:ascii="Arial Narrow" w:eastAsia="Arial Narrow" w:hAnsi="Arial Narrow" w:cs="Arial Narrow"/>
          <w:lang w:val="en-ID"/>
        </w:rPr>
        <w:t xml:space="preserve">, W., &amp; </w:t>
      </w: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(2024). Community involvement in the development of </w:t>
      </w:r>
      <w:proofErr w:type="spellStart"/>
      <w:r w:rsidRPr="0027045B">
        <w:rPr>
          <w:rFonts w:ascii="Arial Narrow" w:eastAsia="Arial Narrow" w:hAnsi="Arial Narrow" w:cs="Arial Narrow"/>
          <w:lang w:val="en-ID"/>
        </w:rPr>
        <w:t>nagari</w:t>
      </w:r>
      <w:proofErr w:type="spellEnd"/>
      <w:r w:rsidRPr="0027045B">
        <w:rPr>
          <w:rFonts w:ascii="Arial Narrow" w:eastAsia="Arial Narrow" w:hAnsi="Arial Narrow" w:cs="Arial Narrow"/>
          <w:lang w:val="en-ID"/>
        </w:rPr>
        <w:t xml:space="preserve">-based sustainable waste management. </w:t>
      </w:r>
      <w:r w:rsidRPr="0027045B">
        <w:rPr>
          <w:rFonts w:ascii="Arial Narrow" w:eastAsia="Arial Narrow" w:hAnsi="Arial Narrow" w:cs="Arial Narrow"/>
          <w:i/>
          <w:iCs/>
          <w:lang w:val="en-ID"/>
        </w:rPr>
        <w:t>IOP Conference Series: Earth and Environmental Science</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1414</w:t>
      </w:r>
      <w:r w:rsidRPr="0027045B">
        <w:rPr>
          <w:rFonts w:ascii="Arial Narrow" w:eastAsia="Arial Narrow" w:hAnsi="Arial Narrow" w:cs="Arial Narrow"/>
          <w:lang w:val="en-ID"/>
        </w:rPr>
        <w:t xml:space="preserve">(1), 012082. </w:t>
      </w:r>
      <w:hyperlink r:id="rId26" w:tgtFrame="_new" w:history="1">
        <w:r w:rsidRPr="0027045B">
          <w:rPr>
            <w:rStyle w:val="Hyperlink"/>
            <w:rFonts w:ascii="Arial Narrow" w:eastAsia="Arial Narrow" w:hAnsi="Arial Narrow" w:cs="Arial Narrow"/>
            <w:color w:val="auto"/>
            <w:u w:val="none"/>
            <w:lang w:val="en-ID"/>
          </w:rPr>
          <w:t>https://doi.org/10.1088/1755-1315/1414/1/012082</w:t>
        </w:r>
      </w:hyperlink>
      <w:r w:rsidR="0027045B">
        <w:rPr>
          <w:rStyle w:val="Hyperlink"/>
          <w:rFonts w:ascii="Arial Narrow" w:eastAsia="Arial Narrow" w:hAnsi="Arial Narrow" w:cs="Arial Narrow"/>
          <w:color w:val="auto"/>
          <w:u w:val="none"/>
          <w:lang w:val="en-ID"/>
        </w:rPr>
        <w:t>.</w:t>
      </w:r>
    </w:p>
    <w:p w14:paraId="67E91AEB" w14:textId="3B7AEC3C"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US"/>
        </w:rPr>
        <w:t xml:space="preserve">Putra, A., </w:t>
      </w:r>
      <w:proofErr w:type="spellStart"/>
      <w:r w:rsidRPr="0027045B">
        <w:rPr>
          <w:rFonts w:ascii="Arial Narrow" w:eastAsia="Arial Narrow" w:hAnsi="Arial Narrow" w:cs="Arial Narrow"/>
          <w:lang w:val="en-US"/>
        </w:rPr>
        <w:t>Rezeki</w:t>
      </w:r>
      <w:proofErr w:type="spellEnd"/>
      <w:r w:rsidRPr="0027045B">
        <w:rPr>
          <w:rFonts w:ascii="Arial Narrow" w:eastAsia="Arial Narrow" w:hAnsi="Arial Narrow" w:cs="Arial Narrow"/>
          <w:lang w:val="en-US"/>
        </w:rPr>
        <w:t xml:space="preserve">, T., </w:t>
      </w:r>
      <w:proofErr w:type="spellStart"/>
      <w:r w:rsidRPr="0027045B">
        <w:rPr>
          <w:rFonts w:ascii="Arial Narrow" w:eastAsia="Arial Narrow" w:hAnsi="Arial Narrow" w:cs="Arial Narrow"/>
          <w:lang w:val="en-US"/>
        </w:rPr>
        <w:t>Fitrisia</w:t>
      </w:r>
      <w:proofErr w:type="spellEnd"/>
      <w:r w:rsidRPr="0027045B">
        <w:rPr>
          <w:rFonts w:ascii="Arial Narrow" w:eastAsia="Arial Narrow" w:hAnsi="Arial Narrow" w:cs="Arial Narrow"/>
          <w:lang w:val="en-US"/>
        </w:rPr>
        <w:t xml:space="preserve">, A., &amp; Fatimah, S. (2025). </w:t>
      </w:r>
      <w:proofErr w:type="spellStart"/>
      <w:r w:rsidRPr="0027045B">
        <w:rPr>
          <w:rFonts w:ascii="Arial Narrow" w:eastAsia="Arial Narrow" w:hAnsi="Arial Narrow" w:cs="Arial Narrow"/>
          <w:lang w:val="en-US"/>
        </w:rPr>
        <w:t>Transformasi</w:t>
      </w:r>
      <w:proofErr w:type="spellEnd"/>
      <w:r w:rsidRPr="0027045B">
        <w:rPr>
          <w:rFonts w:ascii="Arial Narrow" w:eastAsia="Arial Narrow" w:hAnsi="Arial Narrow" w:cs="Arial Narrow"/>
          <w:lang w:val="en-US"/>
        </w:rPr>
        <w:t xml:space="preserve"> </w:t>
      </w:r>
      <w:proofErr w:type="spellStart"/>
      <w:r w:rsidRPr="0027045B">
        <w:rPr>
          <w:rFonts w:ascii="Arial Narrow" w:eastAsia="Arial Narrow" w:hAnsi="Arial Narrow" w:cs="Arial Narrow"/>
          <w:lang w:val="en-US"/>
        </w:rPr>
        <w:t>taksonomi</w:t>
      </w:r>
      <w:proofErr w:type="spellEnd"/>
      <w:r w:rsidRPr="0027045B">
        <w:rPr>
          <w:rFonts w:ascii="Arial Narrow" w:eastAsia="Arial Narrow" w:hAnsi="Arial Narrow" w:cs="Arial Narrow"/>
          <w:lang w:val="en-US"/>
        </w:rPr>
        <w:t xml:space="preserve"> </w:t>
      </w:r>
      <w:proofErr w:type="spellStart"/>
      <w:r w:rsidRPr="0027045B">
        <w:rPr>
          <w:rFonts w:ascii="Arial Narrow" w:eastAsia="Arial Narrow" w:hAnsi="Arial Narrow" w:cs="Arial Narrow"/>
          <w:lang w:val="en-US"/>
        </w:rPr>
        <w:t>ilmu</w:t>
      </w:r>
      <w:proofErr w:type="spellEnd"/>
      <w:r w:rsidRPr="0027045B">
        <w:rPr>
          <w:rFonts w:ascii="Arial Narrow" w:eastAsia="Arial Narrow" w:hAnsi="Arial Narrow" w:cs="Arial Narrow"/>
          <w:lang w:val="en-US"/>
        </w:rPr>
        <w:t xml:space="preserve"> </w:t>
      </w:r>
      <w:proofErr w:type="spellStart"/>
      <w:r w:rsidRPr="0027045B">
        <w:rPr>
          <w:rFonts w:ascii="Arial Narrow" w:eastAsia="Arial Narrow" w:hAnsi="Arial Narrow" w:cs="Arial Narrow"/>
          <w:lang w:val="en-US"/>
        </w:rPr>
        <w:t>administrasi</w:t>
      </w:r>
      <w:proofErr w:type="spellEnd"/>
      <w:r w:rsidRPr="0027045B">
        <w:rPr>
          <w:rFonts w:ascii="Arial Narrow" w:eastAsia="Arial Narrow" w:hAnsi="Arial Narrow" w:cs="Arial Narrow"/>
          <w:lang w:val="en-US"/>
        </w:rPr>
        <w:t xml:space="preserve"> negara </w:t>
      </w:r>
      <w:proofErr w:type="spellStart"/>
      <w:r w:rsidRPr="0027045B">
        <w:rPr>
          <w:rFonts w:ascii="Arial Narrow" w:eastAsia="Arial Narrow" w:hAnsi="Arial Narrow" w:cs="Arial Narrow"/>
          <w:lang w:val="en-US"/>
        </w:rPr>
        <w:t>dalam</w:t>
      </w:r>
      <w:proofErr w:type="spellEnd"/>
      <w:r w:rsidRPr="0027045B">
        <w:rPr>
          <w:rFonts w:ascii="Arial Narrow" w:eastAsia="Arial Narrow" w:hAnsi="Arial Narrow" w:cs="Arial Narrow"/>
          <w:lang w:val="en-US"/>
        </w:rPr>
        <w:t xml:space="preserve"> </w:t>
      </w:r>
      <w:proofErr w:type="spellStart"/>
      <w:r w:rsidRPr="0027045B">
        <w:rPr>
          <w:rFonts w:ascii="Arial Narrow" w:eastAsia="Arial Narrow" w:hAnsi="Arial Narrow" w:cs="Arial Narrow"/>
          <w:lang w:val="en-US"/>
        </w:rPr>
        <w:t>merespons</w:t>
      </w:r>
      <w:proofErr w:type="spellEnd"/>
      <w:r w:rsidRPr="0027045B">
        <w:rPr>
          <w:rFonts w:ascii="Arial Narrow" w:eastAsia="Arial Narrow" w:hAnsi="Arial Narrow" w:cs="Arial Narrow"/>
          <w:lang w:val="en-US"/>
        </w:rPr>
        <w:t xml:space="preserve"> environmental informatics di era digital. </w:t>
      </w:r>
      <w:proofErr w:type="spellStart"/>
      <w:r w:rsidRPr="0027045B">
        <w:rPr>
          <w:rFonts w:ascii="Arial Narrow" w:eastAsia="Arial Narrow" w:hAnsi="Arial Narrow" w:cs="Arial Narrow"/>
          <w:i/>
          <w:iCs/>
          <w:lang w:val="en-US"/>
        </w:rPr>
        <w:t>Jurnal</w:t>
      </w:r>
      <w:proofErr w:type="spellEnd"/>
      <w:r w:rsidRPr="0027045B">
        <w:rPr>
          <w:rFonts w:ascii="Arial Narrow" w:eastAsia="Arial Narrow" w:hAnsi="Arial Narrow" w:cs="Arial Narrow"/>
          <w:i/>
          <w:iCs/>
          <w:lang w:val="en-US"/>
        </w:rPr>
        <w:t xml:space="preserve"> Pendidikan </w:t>
      </w:r>
      <w:proofErr w:type="spellStart"/>
      <w:r w:rsidRPr="0027045B">
        <w:rPr>
          <w:rFonts w:ascii="Arial Narrow" w:eastAsia="Arial Narrow" w:hAnsi="Arial Narrow" w:cs="Arial Narrow"/>
          <w:i/>
          <w:iCs/>
          <w:lang w:val="en-US"/>
        </w:rPr>
        <w:t>Tambusai</w:t>
      </w:r>
      <w:proofErr w:type="spellEnd"/>
      <w:r w:rsidRPr="0027045B">
        <w:rPr>
          <w:rFonts w:ascii="Arial Narrow" w:eastAsia="Arial Narrow" w:hAnsi="Arial Narrow" w:cs="Arial Narrow"/>
          <w:lang w:val="en-US"/>
        </w:rPr>
        <w:t xml:space="preserve">, </w:t>
      </w:r>
      <w:r w:rsidRPr="0027045B">
        <w:rPr>
          <w:rFonts w:ascii="Arial Narrow" w:eastAsia="Arial Narrow" w:hAnsi="Arial Narrow" w:cs="Arial Narrow"/>
          <w:i/>
          <w:iCs/>
          <w:lang w:val="en-US"/>
        </w:rPr>
        <w:t>9</w:t>
      </w:r>
      <w:r w:rsidRPr="0027045B">
        <w:rPr>
          <w:rFonts w:ascii="Arial Narrow" w:eastAsia="Arial Narrow" w:hAnsi="Arial Narrow" w:cs="Arial Narrow"/>
          <w:lang w:val="en-US"/>
        </w:rPr>
        <w:t xml:space="preserve">(2), 13993–14000. </w:t>
      </w:r>
      <w:hyperlink r:id="rId27" w:tgtFrame="_new" w:history="1">
        <w:r w:rsidRPr="0027045B">
          <w:rPr>
            <w:rStyle w:val="Hyperlink"/>
            <w:rFonts w:ascii="Arial Narrow" w:eastAsia="Arial Narrow" w:hAnsi="Arial Narrow" w:cs="Arial Narrow"/>
            <w:color w:val="auto"/>
            <w:u w:val="none"/>
            <w:lang w:val="en-US"/>
          </w:rPr>
          <w:t>https://doi.org/10.31004/jptam.v9i2.27453</w:t>
        </w:r>
      </w:hyperlink>
      <w:r w:rsidR="0027045B">
        <w:rPr>
          <w:rStyle w:val="Hyperlink"/>
          <w:rFonts w:ascii="Arial Narrow" w:eastAsia="Arial Narrow" w:hAnsi="Arial Narrow" w:cs="Arial Narrow"/>
          <w:color w:val="auto"/>
          <w:u w:val="none"/>
          <w:lang w:val="en-US"/>
        </w:rPr>
        <w:t>.</w:t>
      </w:r>
    </w:p>
    <w:p w14:paraId="74BA92A4" w14:textId="21C27122"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Ragul</w:t>
      </w:r>
      <w:proofErr w:type="spellEnd"/>
      <w:r w:rsidRPr="0027045B">
        <w:rPr>
          <w:rFonts w:ascii="Arial Narrow" w:eastAsia="Arial Narrow" w:hAnsi="Arial Narrow" w:cs="Arial Narrow"/>
          <w:lang w:val="en-ID"/>
        </w:rPr>
        <w:t xml:space="preserve">, V. (2021). Strategic leadership and service delivery in organizations: A critical review of literature. </w:t>
      </w:r>
      <w:proofErr w:type="spellStart"/>
      <w:r w:rsidRPr="0027045B">
        <w:rPr>
          <w:rFonts w:ascii="Arial Narrow" w:eastAsia="Arial Narrow" w:hAnsi="Arial Narrow" w:cs="Arial Narrow"/>
          <w:i/>
          <w:iCs/>
          <w:lang w:val="en-ID"/>
        </w:rPr>
        <w:t>AfricArXiv</w:t>
      </w:r>
      <w:proofErr w:type="spellEnd"/>
      <w:r w:rsidRPr="0027045B">
        <w:rPr>
          <w:rFonts w:ascii="Arial Narrow" w:eastAsia="Arial Narrow" w:hAnsi="Arial Narrow" w:cs="Arial Narrow"/>
          <w:i/>
          <w:iCs/>
          <w:lang w:val="en-ID"/>
        </w:rPr>
        <w:t xml:space="preserve"> Preprints</w:t>
      </w:r>
      <w:r w:rsidRPr="0027045B">
        <w:rPr>
          <w:rFonts w:ascii="Arial Narrow" w:eastAsia="Arial Narrow" w:hAnsi="Arial Narrow" w:cs="Arial Narrow"/>
          <w:lang w:val="en-ID"/>
        </w:rPr>
        <w:t xml:space="preserve">. </w:t>
      </w:r>
      <w:hyperlink r:id="rId28" w:tgtFrame="_new" w:history="1">
        <w:r w:rsidRPr="0027045B">
          <w:rPr>
            <w:rStyle w:val="Hyperlink"/>
            <w:rFonts w:ascii="Arial Narrow" w:eastAsia="Arial Narrow" w:hAnsi="Arial Narrow" w:cs="Arial Narrow"/>
            <w:color w:val="auto"/>
            <w:u w:val="none"/>
            <w:lang w:val="en-ID"/>
          </w:rPr>
          <w:t>https://doi.org/10.14293/111.000/000022.v1</w:t>
        </w:r>
      </w:hyperlink>
      <w:r w:rsidR="0027045B">
        <w:rPr>
          <w:rStyle w:val="Hyperlink"/>
          <w:rFonts w:ascii="Arial Narrow" w:eastAsia="Arial Narrow" w:hAnsi="Arial Narrow" w:cs="Arial Narrow"/>
          <w:color w:val="auto"/>
          <w:u w:val="none"/>
          <w:lang w:val="en-ID"/>
        </w:rPr>
        <w:t>.</w:t>
      </w:r>
    </w:p>
    <w:p w14:paraId="3498A5A6" w14:textId="31B9035A"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&amp; </w:t>
      </w: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(2024). </w:t>
      </w:r>
      <w:proofErr w:type="spellStart"/>
      <w:r w:rsidRPr="0027045B">
        <w:rPr>
          <w:rFonts w:ascii="Arial Narrow" w:eastAsia="Arial Narrow" w:hAnsi="Arial Narrow" w:cs="Arial Narrow"/>
          <w:lang w:val="en-ID"/>
        </w:rPr>
        <w:t>Strategi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pemerintahan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daerah</w:t>
      </w:r>
      <w:proofErr w:type="spellEnd"/>
      <w:r w:rsidRPr="0027045B">
        <w:rPr>
          <w:rFonts w:ascii="Arial Narrow" w:eastAsia="Arial Narrow" w:hAnsi="Arial Narrow" w:cs="Arial Narrow"/>
          <w:lang w:val="en-ID"/>
        </w:rPr>
        <w:t xml:space="preserve"> Kota Padang Panjang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menjaga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keberlanjutan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lahan</w:t>
      </w:r>
      <w:proofErr w:type="spellEnd"/>
      <w:r w:rsidRPr="0027045B">
        <w:rPr>
          <w:rFonts w:ascii="Arial Narrow" w:eastAsia="Arial Narrow" w:hAnsi="Arial Narrow" w:cs="Arial Narrow"/>
          <w:lang w:val="en-ID"/>
        </w:rPr>
        <w:t xml:space="preserve"> dan </w:t>
      </w:r>
      <w:proofErr w:type="spellStart"/>
      <w:r w:rsidRPr="0027045B">
        <w:rPr>
          <w:rFonts w:ascii="Arial Narrow" w:eastAsia="Arial Narrow" w:hAnsi="Arial Narrow" w:cs="Arial Narrow"/>
          <w:lang w:val="en-ID"/>
        </w:rPr>
        <w:t>pangan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i/>
          <w:iCs/>
          <w:lang w:val="en-ID"/>
        </w:rPr>
        <w:t>Jurnal</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Ilmu</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Administrasi</w:t>
      </w:r>
      <w:proofErr w:type="spellEnd"/>
      <w:r w:rsidRPr="0027045B">
        <w:rPr>
          <w:rFonts w:ascii="Arial Narrow" w:eastAsia="Arial Narrow" w:hAnsi="Arial Narrow" w:cs="Arial Narrow"/>
          <w:i/>
          <w:iCs/>
          <w:lang w:val="en-ID"/>
        </w:rPr>
        <w:t xml:space="preserve"> Negara </w:t>
      </w:r>
      <w:proofErr w:type="spellStart"/>
      <w:r w:rsidRPr="0027045B">
        <w:rPr>
          <w:rFonts w:ascii="Arial Narrow" w:eastAsia="Arial Narrow" w:hAnsi="Arial Narrow" w:cs="Arial Narrow"/>
          <w:i/>
          <w:iCs/>
          <w:lang w:val="en-ID"/>
        </w:rPr>
        <w:t>AsIAN</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12</w:t>
      </w:r>
      <w:r w:rsidRPr="0027045B">
        <w:rPr>
          <w:rFonts w:ascii="Arial Narrow" w:eastAsia="Arial Narrow" w:hAnsi="Arial Narrow" w:cs="Arial Narrow"/>
          <w:lang w:val="en-ID"/>
        </w:rPr>
        <w:t xml:space="preserve">(2), 204–214. </w:t>
      </w:r>
      <w:hyperlink r:id="rId29" w:tgtFrame="_new" w:history="1">
        <w:r w:rsidRPr="0027045B">
          <w:rPr>
            <w:rStyle w:val="Hyperlink"/>
            <w:rFonts w:ascii="Arial Narrow" w:eastAsia="Arial Narrow" w:hAnsi="Arial Narrow" w:cs="Arial Narrow"/>
            <w:color w:val="auto"/>
            <w:u w:val="none"/>
            <w:lang w:val="en-ID"/>
          </w:rPr>
          <w:t>https://doi.org/10.47828/jianaasian.v12i2.250</w:t>
        </w:r>
      </w:hyperlink>
      <w:r w:rsidR="0027045B">
        <w:rPr>
          <w:rStyle w:val="Hyperlink"/>
          <w:rFonts w:ascii="Arial Narrow" w:eastAsia="Arial Narrow" w:hAnsi="Arial Narrow" w:cs="Arial Narrow"/>
          <w:color w:val="auto"/>
          <w:u w:val="none"/>
          <w:lang w:val="en-ID"/>
        </w:rPr>
        <w:t>.</w:t>
      </w:r>
    </w:p>
    <w:p w14:paraId="5F17A5BF" w14:textId="2D29A559"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A. P. T., &amp; </w:t>
      </w:r>
      <w:proofErr w:type="spellStart"/>
      <w:r w:rsidRPr="0027045B">
        <w:rPr>
          <w:rFonts w:ascii="Arial Narrow" w:eastAsia="Arial Narrow" w:hAnsi="Arial Narrow" w:cs="Arial Narrow"/>
          <w:lang w:val="en-ID"/>
        </w:rPr>
        <w:t>Frinaldi</w:t>
      </w:r>
      <w:proofErr w:type="spellEnd"/>
      <w:r w:rsidRPr="0027045B">
        <w:rPr>
          <w:rFonts w:ascii="Arial Narrow" w:eastAsia="Arial Narrow" w:hAnsi="Arial Narrow" w:cs="Arial Narrow"/>
          <w:lang w:val="en-ID"/>
        </w:rPr>
        <w:t xml:space="preserve">, A. (2025). The dynamics of the relationship between government and citizens from the perspective of administrative court decisions. </w:t>
      </w:r>
      <w:proofErr w:type="spellStart"/>
      <w:r w:rsidRPr="0027045B">
        <w:rPr>
          <w:rFonts w:ascii="Arial Narrow" w:eastAsia="Arial Narrow" w:hAnsi="Arial Narrow" w:cs="Arial Narrow"/>
          <w:i/>
          <w:iCs/>
          <w:lang w:val="en-ID"/>
        </w:rPr>
        <w:t>Santhet</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Jurnal</w:t>
      </w:r>
      <w:proofErr w:type="spellEnd"/>
      <w:r w:rsidRPr="0027045B">
        <w:rPr>
          <w:rFonts w:ascii="Arial Narrow" w:eastAsia="Arial Narrow" w:hAnsi="Arial Narrow" w:cs="Arial Narrow"/>
          <w:i/>
          <w:iCs/>
          <w:lang w:val="en-ID"/>
        </w:rPr>
        <w:t xml:space="preserve"> Sejarah dan Pendidikan Sejarah)</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9</w:t>
      </w:r>
      <w:r w:rsidRPr="0027045B">
        <w:rPr>
          <w:rFonts w:ascii="Arial Narrow" w:eastAsia="Arial Narrow" w:hAnsi="Arial Narrow" w:cs="Arial Narrow"/>
          <w:lang w:val="en-ID"/>
        </w:rPr>
        <w:t xml:space="preserve">(6). </w:t>
      </w:r>
      <w:hyperlink r:id="rId30" w:tgtFrame="_new" w:history="1">
        <w:r w:rsidRPr="0027045B">
          <w:rPr>
            <w:rStyle w:val="Hyperlink"/>
            <w:rFonts w:ascii="Arial Narrow" w:eastAsia="Arial Narrow" w:hAnsi="Arial Narrow" w:cs="Arial Narrow"/>
            <w:color w:val="auto"/>
            <w:u w:val="none"/>
            <w:lang w:val="en-ID"/>
          </w:rPr>
          <w:t>https://doi.org/10.36526/santhet.v9i6.5687</w:t>
        </w:r>
      </w:hyperlink>
      <w:r w:rsidR="0027045B">
        <w:rPr>
          <w:rStyle w:val="Hyperlink"/>
          <w:rFonts w:ascii="Arial Narrow" w:eastAsia="Arial Narrow" w:hAnsi="Arial Narrow" w:cs="Arial Narrow"/>
          <w:color w:val="auto"/>
          <w:u w:val="none"/>
          <w:lang w:val="en-ID"/>
        </w:rPr>
        <w:t>.</w:t>
      </w:r>
    </w:p>
    <w:p w14:paraId="293E856D" w14:textId="0226FFA2"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Rezeki</w:t>
      </w:r>
      <w:proofErr w:type="spellEnd"/>
      <w:r w:rsidRPr="0027045B">
        <w:rPr>
          <w:rFonts w:ascii="Arial Narrow" w:eastAsia="Arial Narrow" w:hAnsi="Arial Narrow" w:cs="Arial Narrow"/>
          <w:lang w:val="en-ID"/>
        </w:rPr>
        <w:t xml:space="preserve">, T., Putra, A., </w:t>
      </w:r>
      <w:proofErr w:type="spellStart"/>
      <w:r w:rsidRPr="0027045B">
        <w:rPr>
          <w:rFonts w:ascii="Arial Narrow" w:eastAsia="Arial Narrow" w:hAnsi="Arial Narrow" w:cs="Arial Narrow"/>
          <w:lang w:val="en-ID"/>
        </w:rPr>
        <w:t>Pratiwi</w:t>
      </w:r>
      <w:proofErr w:type="spellEnd"/>
      <w:r w:rsidRPr="0027045B">
        <w:rPr>
          <w:rFonts w:ascii="Arial Narrow" w:eastAsia="Arial Narrow" w:hAnsi="Arial Narrow" w:cs="Arial Narrow"/>
          <w:lang w:val="en-ID"/>
        </w:rPr>
        <w:t xml:space="preserve">, L. P., </w:t>
      </w:r>
      <w:proofErr w:type="spellStart"/>
      <w:r w:rsidRPr="0027045B">
        <w:rPr>
          <w:rFonts w:ascii="Arial Narrow" w:eastAsia="Arial Narrow" w:hAnsi="Arial Narrow" w:cs="Arial Narrow"/>
          <w:lang w:val="en-ID"/>
        </w:rPr>
        <w:t>Handriyani</w:t>
      </w:r>
      <w:proofErr w:type="spellEnd"/>
      <w:r w:rsidRPr="0027045B">
        <w:rPr>
          <w:rFonts w:ascii="Arial Narrow" w:eastAsia="Arial Narrow" w:hAnsi="Arial Narrow" w:cs="Arial Narrow"/>
          <w:lang w:val="en-ID"/>
        </w:rPr>
        <w:t xml:space="preserve">, R., &amp; Rinaldo, A. (2023). </w:t>
      </w:r>
      <w:proofErr w:type="spellStart"/>
      <w:r w:rsidRPr="0027045B">
        <w:rPr>
          <w:rFonts w:ascii="Arial Narrow" w:eastAsia="Arial Narrow" w:hAnsi="Arial Narrow" w:cs="Arial Narrow"/>
          <w:lang w:val="en-ID"/>
        </w:rPr>
        <w:t>Peranan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interaksi</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sosial</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dalam</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meningkatkan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pemahaman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budaya</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antar</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mahasiswa</w:t>
      </w:r>
      <w:proofErr w:type="spellEnd"/>
      <w:r w:rsidRPr="0027045B">
        <w:rPr>
          <w:rFonts w:ascii="Arial Narrow" w:eastAsia="Arial Narrow" w:hAnsi="Arial Narrow" w:cs="Arial Narrow"/>
          <w:lang w:val="en-ID"/>
        </w:rPr>
        <w:t xml:space="preserve"> di </w:t>
      </w:r>
      <w:proofErr w:type="spellStart"/>
      <w:r w:rsidRPr="0027045B">
        <w:rPr>
          <w:rFonts w:ascii="Arial Narrow" w:eastAsia="Arial Narrow" w:hAnsi="Arial Narrow" w:cs="Arial Narrow"/>
          <w:lang w:val="en-ID"/>
        </w:rPr>
        <w:t>lingkungan</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kampus</w:t>
      </w:r>
      <w:proofErr w:type="spellEnd"/>
      <w:r w:rsidRPr="0027045B">
        <w:rPr>
          <w:rFonts w:ascii="Arial Narrow" w:eastAsia="Arial Narrow" w:hAnsi="Arial Narrow" w:cs="Arial Narrow"/>
          <w:lang w:val="en-ID"/>
        </w:rPr>
        <w:t xml:space="preserve"> </w:t>
      </w:r>
      <w:proofErr w:type="spellStart"/>
      <w:r w:rsidRPr="0027045B">
        <w:rPr>
          <w:rFonts w:ascii="Arial Narrow" w:eastAsia="Arial Narrow" w:hAnsi="Arial Narrow" w:cs="Arial Narrow"/>
          <w:lang w:val="en-ID"/>
        </w:rPr>
        <w:t>Universitas</w:t>
      </w:r>
      <w:proofErr w:type="spellEnd"/>
      <w:r w:rsidRPr="0027045B">
        <w:rPr>
          <w:rFonts w:ascii="Arial Narrow" w:eastAsia="Arial Narrow" w:hAnsi="Arial Narrow" w:cs="Arial Narrow"/>
          <w:lang w:val="en-ID"/>
        </w:rPr>
        <w:t xml:space="preserve"> Negeri Padang. </w:t>
      </w:r>
      <w:r w:rsidRPr="0027045B">
        <w:rPr>
          <w:rFonts w:ascii="Arial Narrow" w:eastAsia="Arial Narrow" w:hAnsi="Arial Narrow" w:cs="Arial Narrow"/>
          <w:i/>
          <w:iCs/>
          <w:lang w:val="en-ID"/>
        </w:rPr>
        <w:t>Journal of Comprehensive Science (JCS)</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2</w:t>
      </w:r>
      <w:r w:rsidRPr="0027045B">
        <w:rPr>
          <w:rFonts w:ascii="Arial Narrow" w:eastAsia="Arial Narrow" w:hAnsi="Arial Narrow" w:cs="Arial Narrow"/>
          <w:lang w:val="en-ID"/>
        </w:rPr>
        <w:t xml:space="preserve">(7). </w:t>
      </w:r>
      <w:hyperlink r:id="rId31" w:tgtFrame="_new" w:history="1">
        <w:r w:rsidRPr="0027045B">
          <w:rPr>
            <w:rStyle w:val="Hyperlink"/>
            <w:rFonts w:ascii="Arial Narrow" w:eastAsia="Arial Narrow" w:hAnsi="Arial Narrow" w:cs="Arial Narrow"/>
            <w:color w:val="auto"/>
            <w:u w:val="none"/>
            <w:lang w:val="en-ID"/>
          </w:rPr>
          <w:t>https://doi.org/10.59188/jcs.v2i7.432</w:t>
        </w:r>
      </w:hyperlink>
      <w:r w:rsidR="0027045B">
        <w:rPr>
          <w:rStyle w:val="Hyperlink"/>
          <w:rFonts w:ascii="Arial Narrow" w:eastAsia="Arial Narrow" w:hAnsi="Arial Narrow" w:cs="Arial Narrow"/>
          <w:color w:val="auto"/>
          <w:u w:val="none"/>
          <w:lang w:val="en-ID"/>
        </w:rPr>
        <w:t>.</w:t>
      </w:r>
    </w:p>
    <w:p w14:paraId="5E9175CC"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Saleh, A. (2021). Assessing institutional capacity in fostering innovation in the GCC: A comparative analysis. </w:t>
      </w:r>
      <w:r w:rsidRPr="0027045B">
        <w:rPr>
          <w:rFonts w:ascii="Arial Narrow" w:eastAsia="Arial Narrow" w:hAnsi="Arial Narrow" w:cs="Arial Narrow"/>
          <w:i/>
          <w:iCs/>
          <w:lang w:val="en-ID"/>
        </w:rPr>
        <w:t>International Journal of Innovation and Knowledge Management in Middle East and North Africa</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9</w:t>
      </w:r>
      <w:r w:rsidRPr="0027045B">
        <w:rPr>
          <w:rFonts w:ascii="Arial Narrow" w:eastAsia="Arial Narrow" w:hAnsi="Arial Narrow" w:cs="Arial Narrow"/>
          <w:lang w:val="en-ID"/>
        </w:rPr>
        <w:t xml:space="preserve">(1–2), 1–25. </w:t>
      </w:r>
      <w:hyperlink r:id="rId32" w:tgtFrame="_new" w:history="1">
        <w:r w:rsidRPr="0027045B">
          <w:rPr>
            <w:rStyle w:val="Hyperlink"/>
            <w:rFonts w:ascii="Arial Narrow" w:eastAsia="Arial Narrow" w:hAnsi="Arial Narrow" w:cs="Arial Narrow"/>
            <w:color w:val="auto"/>
            <w:u w:val="none"/>
            <w:lang w:val="en-ID"/>
          </w:rPr>
          <w:t>https://doi.org/10.47556/j.ijikmmena.9.1.2021.1</w:t>
        </w:r>
      </w:hyperlink>
    </w:p>
    <w:p w14:paraId="0D60ECBA" w14:textId="1E92D5F6" w:rsidR="00035C62" w:rsidRPr="0027045B" w:rsidRDefault="00035C62" w:rsidP="00035C62">
      <w:pPr>
        <w:ind w:hanging="709"/>
        <w:rPr>
          <w:rFonts w:ascii="Arial Narrow" w:eastAsia="Arial Narrow" w:hAnsi="Arial Narrow" w:cs="Arial Narrow"/>
          <w:lang w:val="en-ID"/>
        </w:rPr>
      </w:pPr>
      <w:proofErr w:type="spellStart"/>
      <w:r w:rsidRPr="0027045B">
        <w:rPr>
          <w:rFonts w:ascii="Arial Narrow" w:eastAsia="Arial Narrow" w:hAnsi="Arial Narrow" w:cs="Arial Narrow"/>
          <w:lang w:val="en-ID"/>
        </w:rPr>
        <w:t>Santosa</w:t>
      </w:r>
      <w:proofErr w:type="spellEnd"/>
      <w:r w:rsidRPr="0027045B">
        <w:rPr>
          <w:rFonts w:ascii="Arial Narrow" w:eastAsia="Arial Narrow" w:hAnsi="Arial Narrow" w:cs="Arial Narrow"/>
          <w:lang w:val="en-ID"/>
        </w:rPr>
        <w:t xml:space="preserve">, H. (2023). Role of service innovation in enhancing customer satisfaction in public sector organizations. </w:t>
      </w:r>
      <w:proofErr w:type="spellStart"/>
      <w:r w:rsidRPr="0027045B">
        <w:rPr>
          <w:rFonts w:ascii="Arial Narrow" w:eastAsia="Arial Narrow" w:hAnsi="Arial Narrow" w:cs="Arial Narrow"/>
          <w:i/>
          <w:iCs/>
          <w:lang w:val="en-ID"/>
        </w:rPr>
        <w:t>Jurnal</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Ilmiah</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Ilmu</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Administrasi</w:t>
      </w:r>
      <w:proofErr w:type="spellEnd"/>
      <w:r w:rsidRPr="0027045B">
        <w:rPr>
          <w:rFonts w:ascii="Arial Narrow" w:eastAsia="Arial Narrow" w:hAnsi="Arial Narrow" w:cs="Arial Narrow"/>
          <w:i/>
          <w:iCs/>
          <w:lang w:val="en-ID"/>
        </w:rPr>
        <w:t xml:space="preserve"> </w:t>
      </w:r>
      <w:proofErr w:type="spellStart"/>
      <w:r w:rsidRPr="0027045B">
        <w:rPr>
          <w:rFonts w:ascii="Arial Narrow" w:eastAsia="Arial Narrow" w:hAnsi="Arial Narrow" w:cs="Arial Narrow"/>
          <w:i/>
          <w:iCs/>
          <w:lang w:val="en-ID"/>
        </w:rPr>
        <w:t>Publik</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13</w:t>
      </w:r>
      <w:r w:rsidRPr="0027045B">
        <w:rPr>
          <w:rFonts w:ascii="Arial Narrow" w:eastAsia="Arial Narrow" w:hAnsi="Arial Narrow" w:cs="Arial Narrow"/>
          <w:lang w:val="en-ID"/>
        </w:rPr>
        <w:t xml:space="preserve">(1), 183. </w:t>
      </w:r>
      <w:hyperlink r:id="rId33" w:tgtFrame="_new" w:history="1">
        <w:r w:rsidRPr="0027045B">
          <w:rPr>
            <w:rStyle w:val="Hyperlink"/>
            <w:rFonts w:ascii="Arial Narrow" w:eastAsia="Arial Narrow" w:hAnsi="Arial Narrow" w:cs="Arial Narrow"/>
            <w:color w:val="auto"/>
            <w:u w:val="none"/>
            <w:lang w:val="en-ID"/>
          </w:rPr>
          <w:t>https://doi.org/10.26858/jiap.v13i1.45356</w:t>
        </w:r>
      </w:hyperlink>
      <w:r w:rsidR="0027045B">
        <w:rPr>
          <w:rStyle w:val="Hyperlink"/>
          <w:rFonts w:ascii="Arial Narrow" w:eastAsia="Arial Narrow" w:hAnsi="Arial Narrow" w:cs="Arial Narrow"/>
          <w:color w:val="auto"/>
          <w:u w:val="none"/>
          <w:lang w:val="en-ID"/>
        </w:rPr>
        <w:t>.</w:t>
      </w:r>
    </w:p>
    <w:p w14:paraId="5A665856" w14:textId="77777777" w:rsidR="00035C62" w:rsidRPr="0027045B" w:rsidRDefault="00035C62" w:rsidP="00035C62">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Smith, T., Terhune, K., &amp; </w:t>
      </w:r>
      <w:proofErr w:type="spellStart"/>
      <w:r w:rsidRPr="0027045B">
        <w:rPr>
          <w:rFonts w:ascii="Arial Narrow" w:eastAsia="Arial Narrow" w:hAnsi="Arial Narrow" w:cs="Arial Narrow"/>
          <w:lang w:val="en-ID"/>
        </w:rPr>
        <w:t>Caniano</w:t>
      </w:r>
      <w:proofErr w:type="spellEnd"/>
      <w:r w:rsidRPr="0027045B">
        <w:rPr>
          <w:rFonts w:ascii="Arial Narrow" w:eastAsia="Arial Narrow" w:hAnsi="Arial Narrow" w:cs="Arial Narrow"/>
          <w:lang w:val="en-ID"/>
        </w:rPr>
        <w:t xml:space="preserve">, D. (2024). Fostering inclusivity in the clinical learning environment. </w:t>
      </w:r>
      <w:proofErr w:type="spellStart"/>
      <w:r w:rsidRPr="0027045B">
        <w:rPr>
          <w:rFonts w:ascii="Arial Narrow" w:eastAsia="Arial Narrow" w:hAnsi="Arial Narrow" w:cs="Arial Narrow"/>
          <w:i/>
          <w:iCs/>
          <w:lang w:val="en-ID"/>
        </w:rPr>
        <w:t>MedEdPublish</w:t>
      </w:r>
      <w:proofErr w:type="spellEnd"/>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14</w:t>
      </w:r>
      <w:r w:rsidRPr="0027045B">
        <w:rPr>
          <w:rFonts w:ascii="Arial Narrow" w:eastAsia="Arial Narrow" w:hAnsi="Arial Narrow" w:cs="Arial Narrow"/>
          <w:lang w:val="en-ID"/>
        </w:rPr>
        <w:t xml:space="preserve">, 61. </w:t>
      </w:r>
      <w:hyperlink r:id="rId34" w:tgtFrame="_new" w:history="1">
        <w:r w:rsidRPr="0027045B">
          <w:rPr>
            <w:rStyle w:val="Hyperlink"/>
            <w:rFonts w:ascii="Arial Narrow" w:eastAsia="Arial Narrow" w:hAnsi="Arial Narrow" w:cs="Arial Narrow"/>
            <w:color w:val="auto"/>
            <w:u w:val="none"/>
            <w:lang w:val="en-ID"/>
          </w:rPr>
          <w:t>https://doi.org/10.12688/mep.20515.2</w:t>
        </w:r>
      </w:hyperlink>
    </w:p>
    <w:p w14:paraId="78B74DAD" w14:textId="193EF03B" w:rsidR="001E7327" w:rsidRPr="0027045B" w:rsidRDefault="00035C62" w:rsidP="009402FE">
      <w:pPr>
        <w:ind w:hanging="709"/>
        <w:rPr>
          <w:rFonts w:ascii="Arial Narrow" w:eastAsia="Arial Narrow" w:hAnsi="Arial Narrow" w:cs="Arial Narrow"/>
          <w:lang w:val="en-ID"/>
        </w:rPr>
      </w:pPr>
      <w:r w:rsidRPr="0027045B">
        <w:rPr>
          <w:rFonts w:ascii="Arial Narrow" w:eastAsia="Arial Narrow" w:hAnsi="Arial Narrow" w:cs="Arial Narrow"/>
          <w:lang w:val="en-ID"/>
        </w:rPr>
        <w:t xml:space="preserve">Sullivan, A. A., Yeo, J., &amp; Kim, S. (2024). Am I my brothers’ keeper? A critical review of mandated collaboration research. </w:t>
      </w:r>
      <w:r w:rsidRPr="0027045B">
        <w:rPr>
          <w:rFonts w:ascii="Arial Narrow" w:eastAsia="Arial Narrow" w:hAnsi="Arial Narrow" w:cs="Arial Narrow"/>
          <w:i/>
          <w:iCs/>
          <w:lang w:val="en-ID"/>
        </w:rPr>
        <w:t>The American Review of Public Administration</w:t>
      </w:r>
      <w:r w:rsidRPr="0027045B">
        <w:rPr>
          <w:rFonts w:ascii="Arial Narrow" w:eastAsia="Arial Narrow" w:hAnsi="Arial Narrow" w:cs="Arial Narrow"/>
          <w:lang w:val="en-ID"/>
        </w:rPr>
        <w:t xml:space="preserve">, </w:t>
      </w:r>
      <w:r w:rsidRPr="0027045B">
        <w:rPr>
          <w:rFonts w:ascii="Arial Narrow" w:eastAsia="Arial Narrow" w:hAnsi="Arial Narrow" w:cs="Arial Narrow"/>
          <w:i/>
          <w:iCs/>
          <w:lang w:val="en-ID"/>
        </w:rPr>
        <w:t>54</w:t>
      </w:r>
      <w:r w:rsidRPr="0027045B">
        <w:rPr>
          <w:rFonts w:ascii="Arial Narrow" w:eastAsia="Arial Narrow" w:hAnsi="Arial Narrow" w:cs="Arial Narrow"/>
          <w:lang w:val="en-ID"/>
        </w:rPr>
        <w:t xml:space="preserve">(4), 323–336. </w:t>
      </w:r>
      <w:hyperlink r:id="rId35" w:tgtFrame="_new" w:history="1">
        <w:r w:rsidRPr="0027045B">
          <w:rPr>
            <w:rStyle w:val="Hyperlink"/>
            <w:rFonts w:ascii="Arial Narrow" w:eastAsia="Arial Narrow" w:hAnsi="Arial Narrow" w:cs="Arial Narrow"/>
            <w:color w:val="auto"/>
            <w:u w:val="none"/>
            <w:lang w:val="en-ID"/>
          </w:rPr>
          <w:t>https://doi.org/10.1177/02750740241229989</w:t>
        </w:r>
      </w:hyperlink>
      <w:r w:rsidR="0027045B">
        <w:rPr>
          <w:rStyle w:val="Hyperlink"/>
          <w:rFonts w:ascii="Arial Narrow" w:eastAsia="Arial Narrow" w:hAnsi="Arial Narrow" w:cs="Arial Narrow"/>
          <w:color w:val="auto"/>
          <w:u w:val="none"/>
          <w:lang w:val="en-ID"/>
        </w:rPr>
        <w:t>.</w:t>
      </w:r>
    </w:p>
    <w:p w14:paraId="654CEAB9" w14:textId="77777777" w:rsidR="00B731D9" w:rsidRPr="0027045B" w:rsidRDefault="00B731D9" w:rsidP="00B731D9">
      <w:pPr>
        <w:ind w:hanging="709"/>
        <w:rPr>
          <w:rFonts w:ascii="Arial Narrow" w:eastAsia="Arial Narrow" w:hAnsi="Arial Narrow" w:cs="Arial Narrow"/>
          <w:lang w:val="en-ID"/>
        </w:rPr>
      </w:pPr>
    </w:p>
    <w:p w14:paraId="52D5B304" w14:textId="77777777" w:rsidR="007E0982" w:rsidRPr="0027045B" w:rsidRDefault="007E0982">
      <w:pPr>
        <w:ind w:left="0" w:firstLine="0"/>
        <w:rPr>
          <w:rFonts w:ascii="Arial Narrow" w:eastAsia="Arial Narrow" w:hAnsi="Arial Narrow" w:cs="Arial Narrow"/>
        </w:rPr>
      </w:pPr>
      <w:bookmarkStart w:id="5" w:name="_heading=h.gjdgxs" w:colFirst="0" w:colLast="0"/>
      <w:bookmarkEnd w:id="5"/>
    </w:p>
    <w:sectPr w:rsidR="007E0982" w:rsidRPr="0027045B" w:rsidSect="0027045B">
      <w:headerReference w:type="default" r:id="rId36"/>
      <w:footerReference w:type="default" r:id="rId37"/>
      <w:pgSz w:w="11906" w:h="16838"/>
      <w:pgMar w:top="1901" w:right="1701" w:bottom="1701" w:left="2268" w:header="709" w:footer="709" w:gutter="0"/>
      <w:pgNumType w:start="9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2E638" w14:textId="77777777" w:rsidR="00CC1B41" w:rsidRDefault="00CC1B41">
      <w:r>
        <w:separator/>
      </w:r>
    </w:p>
  </w:endnote>
  <w:endnote w:type="continuationSeparator" w:id="0">
    <w:p w14:paraId="05390633" w14:textId="77777777" w:rsidR="00CC1B41" w:rsidRDefault="00CC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rPr>
      <w:id w:val="2109384923"/>
      <w:docPartObj>
        <w:docPartGallery w:val="Page Numbers (Bottom of Page)"/>
        <w:docPartUnique/>
      </w:docPartObj>
    </w:sdtPr>
    <w:sdtEndPr>
      <w:rPr>
        <w:noProof/>
      </w:rPr>
    </w:sdtEndPr>
    <w:sdtContent>
      <w:p w14:paraId="77AC8A4F" w14:textId="6DAA71D3" w:rsidR="0027045B" w:rsidRPr="0027045B" w:rsidRDefault="0027045B" w:rsidP="0027045B">
        <w:pPr>
          <w:pStyle w:val="Footer"/>
          <w:ind w:left="0" w:firstLine="0"/>
          <w:jc w:val="center"/>
          <w:rPr>
            <w:rFonts w:ascii="Arial Narrow" w:hAnsi="Arial Narrow"/>
          </w:rPr>
        </w:pPr>
        <w:r w:rsidRPr="0027045B">
          <w:rPr>
            <w:rFonts w:ascii="Arial Narrow" w:hAnsi="Arial Narrow"/>
          </w:rPr>
          <w:fldChar w:fldCharType="begin"/>
        </w:r>
        <w:r w:rsidRPr="0027045B">
          <w:rPr>
            <w:rFonts w:ascii="Arial Narrow" w:hAnsi="Arial Narrow"/>
          </w:rPr>
          <w:instrText xml:space="preserve"> PAGE   \* MERGEFORMAT </w:instrText>
        </w:r>
        <w:r w:rsidRPr="0027045B">
          <w:rPr>
            <w:rFonts w:ascii="Arial Narrow" w:hAnsi="Arial Narrow"/>
          </w:rPr>
          <w:fldChar w:fldCharType="separate"/>
        </w:r>
        <w:r w:rsidRPr="0027045B">
          <w:rPr>
            <w:rFonts w:ascii="Arial Narrow" w:hAnsi="Arial Narrow"/>
            <w:noProof/>
          </w:rPr>
          <w:t>2</w:t>
        </w:r>
        <w:r w:rsidRPr="0027045B">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39A24" w14:textId="77777777" w:rsidR="00CC1B41" w:rsidRDefault="00CC1B41">
      <w:r>
        <w:separator/>
      </w:r>
    </w:p>
  </w:footnote>
  <w:footnote w:type="continuationSeparator" w:id="0">
    <w:p w14:paraId="64F6FBAF" w14:textId="77777777" w:rsidR="00CC1B41" w:rsidRDefault="00CC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F5EF" w14:textId="27B7ED9D" w:rsidR="007E0982" w:rsidRDefault="0027045B">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rPr>
    </w:pPr>
    <w:r>
      <w:rPr>
        <w:noProof/>
        <w:lang w:val="en-US" w:eastAsia="en-US"/>
      </w:rPr>
      <w:drawing>
        <wp:anchor distT="0" distB="0" distL="0" distR="0" simplePos="0" relativeHeight="251658240" behindDoc="0" locked="0" layoutInCell="1" hidden="0" allowOverlap="1" wp14:anchorId="428B1CE2" wp14:editId="75D554DB">
          <wp:simplePos x="0" y="0"/>
          <wp:positionH relativeFrom="column">
            <wp:posOffset>-594199</wp:posOffset>
          </wp:positionH>
          <wp:positionV relativeFrom="paragraph">
            <wp:posOffset>-69665</wp:posOffset>
          </wp:positionV>
          <wp:extent cx="495300" cy="427592"/>
          <wp:effectExtent l="0" t="0" r="0" b="0"/>
          <wp:wrapSquare wrapText="bothSides" distT="0" distB="0" distL="0" distR="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5300" cy="427592"/>
                  </a:xfrm>
                  <a:prstGeom prst="rect">
                    <a:avLst/>
                  </a:prstGeom>
                  <a:ln/>
                </pic:spPr>
              </pic:pic>
            </a:graphicData>
          </a:graphic>
        </wp:anchor>
      </w:drawing>
    </w:r>
    <w:hyperlink r:id="rId2">
      <w:r w:rsidR="00D60A14">
        <w:rPr>
          <w:rFonts w:ascii="Arial Narrow" w:eastAsia="Arial Narrow" w:hAnsi="Arial Narrow" w:cs="Arial Narrow"/>
          <w:b/>
          <w:color w:val="000000"/>
          <w:sz w:val="16"/>
          <w:szCs w:val="16"/>
        </w:rPr>
        <w:t>Santhet: Jurnal Sejarah, Pendidikan Dan Humaniora</w:t>
      </w:r>
    </w:hyperlink>
  </w:p>
  <w:p w14:paraId="1853B75B" w14:textId="40F18041" w:rsidR="007E0982" w:rsidRPr="0027045B" w:rsidRDefault="00D60A14">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sidR="0027045B">
      <w:rPr>
        <w:rFonts w:ascii="Arial Narrow" w:eastAsia="Arial Narrow" w:hAnsi="Arial Narrow" w:cs="Arial Narrow"/>
        <w:b/>
        <w:sz w:val="16"/>
        <w:szCs w:val="16"/>
        <w:lang w:val="en-US"/>
      </w:rPr>
      <w:t>10</w:t>
    </w:r>
    <w:r>
      <w:rPr>
        <w:rFonts w:ascii="Arial Narrow" w:eastAsia="Arial Narrow" w:hAnsi="Arial Narrow" w:cs="Arial Narrow"/>
        <w:b/>
        <w:color w:val="000000"/>
        <w:sz w:val="16"/>
        <w:szCs w:val="16"/>
      </w:rPr>
      <w:t xml:space="preserve"> No.</w:t>
    </w:r>
    <w:r w:rsidR="0027045B">
      <w:rPr>
        <w:rFonts w:ascii="Arial Narrow" w:eastAsia="Arial Narrow" w:hAnsi="Arial Narrow" w:cs="Arial Narrow"/>
        <w:b/>
        <w:color w:val="000000"/>
        <w:sz w:val="16"/>
        <w:szCs w:val="16"/>
        <w:lang w:val="en-US"/>
      </w:rPr>
      <w:t>2</w:t>
    </w:r>
    <w:r>
      <w:rPr>
        <w:rFonts w:ascii="Arial Narrow" w:eastAsia="Arial Narrow" w:hAnsi="Arial Narrow" w:cs="Arial Narrow"/>
        <w:b/>
        <w:color w:val="000000"/>
        <w:sz w:val="16"/>
        <w:szCs w:val="16"/>
      </w:rPr>
      <w:t xml:space="preserve">    </w:t>
    </w:r>
    <w:r>
      <w:rPr>
        <w:rFonts w:ascii="Arial Narrow" w:eastAsia="Arial Narrow" w:hAnsi="Arial Narrow" w:cs="Arial Narrow"/>
        <w:b/>
        <w:sz w:val="16"/>
        <w:szCs w:val="16"/>
      </w:rPr>
      <w:t xml:space="preserve">                                           </w:t>
    </w:r>
    <w:r w:rsidR="0027045B">
      <w:rPr>
        <w:rFonts w:ascii="Arial Narrow" w:eastAsia="Arial Narrow" w:hAnsi="Arial Narrow" w:cs="Arial Narrow"/>
        <w:b/>
        <w:sz w:val="16"/>
        <w:szCs w:val="16"/>
        <w:lang w:val="en-US"/>
      </w:rPr>
      <w:t xml:space="preserve">   April</w:t>
    </w:r>
    <w:r>
      <w:rPr>
        <w:rFonts w:ascii="Arial Narrow" w:eastAsia="Arial Narrow" w:hAnsi="Arial Narrow" w:cs="Arial Narrow"/>
        <w:b/>
        <w:sz w:val="16"/>
        <w:szCs w:val="16"/>
      </w:rPr>
      <w:t xml:space="preserve"> 202</w:t>
    </w:r>
    <w:r w:rsidR="0027045B">
      <w:rPr>
        <w:rFonts w:ascii="Arial Narrow" w:eastAsia="Arial Narrow" w:hAnsi="Arial Narrow" w:cs="Arial Narrow"/>
        <w:b/>
        <w:sz w:val="16"/>
        <w:szCs w:val="16"/>
        <w:lang w:val="en-US"/>
      </w:rPr>
      <w:t>6</w:t>
    </w:r>
  </w:p>
  <w:p w14:paraId="5EADD641" w14:textId="723DE85E" w:rsidR="007E0982" w:rsidRPr="0027045B" w:rsidRDefault="00D60A14">
    <w:pPr>
      <w:tabs>
        <w:tab w:val="center" w:pos="4153"/>
        <w:tab w:val="right" w:pos="8306"/>
      </w:tabs>
      <w:spacing w:line="200" w:lineRule="auto"/>
      <w:ind w:left="0" w:right="-1188" w:firstLine="0"/>
      <w:jc w:val="left"/>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sidR="0027045B">
      <w:rPr>
        <w:rFonts w:ascii="Arial Narrow" w:eastAsia="Arial Narrow" w:hAnsi="Arial Narrow" w:cs="Arial Narrow"/>
        <w:b/>
        <w:sz w:val="16"/>
        <w:szCs w:val="16"/>
        <w:lang w:val="en-US"/>
      </w:rPr>
      <w:t>7123</w:t>
    </w:r>
  </w:p>
  <w:p w14:paraId="4E015E4B" w14:textId="77777777" w:rsidR="007E0982" w:rsidRDefault="00D60A14">
    <w:pPr>
      <w:tabs>
        <w:tab w:val="center" w:pos="4153"/>
        <w:tab w:val="right" w:pos="8306"/>
      </w:tabs>
      <w:spacing w:line="200" w:lineRule="auto"/>
      <w:ind w:left="0" w:right="-1188" w:firstLine="0"/>
      <w:jc w:val="left"/>
      <w:rPr>
        <w:rFonts w:ascii="Arial Narrow" w:eastAsia="Arial Narrow" w:hAnsi="Arial Narrow" w:cs="Arial Narrow"/>
        <w:b/>
        <w:sz w:val="16"/>
        <w:szCs w:val="16"/>
      </w:rPr>
    </w:pPr>
    <w:r>
      <w:rPr>
        <w:noProof/>
        <w:lang w:val="en-US" w:eastAsia="en-US"/>
      </w:rPr>
      <mc:AlternateContent>
        <mc:Choice Requires="wps">
          <w:drawing>
            <wp:anchor distT="0" distB="0" distL="0" distR="0" simplePos="0" relativeHeight="251659264" behindDoc="0" locked="0" layoutInCell="1" hidden="0" allowOverlap="1" wp14:anchorId="42A855AB" wp14:editId="4EEB6440">
              <wp:simplePos x="0" y="0"/>
              <wp:positionH relativeFrom="column">
                <wp:posOffset>-698499</wp:posOffset>
              </wp:positionH>
              <wp:positionV relativeFrom="paragraph">
                <wp:posOffset>88900</wp:posOffset>
              </wp:positionV>
              <wp:extent cx="5784850" cy="231775"/>
              <wp:effectExtent l="0" t="0" r="0" b="0"/>
              <wp:wrapSquare wrapText="bothSides" distT="0" distB="0" distL="0" distR="0"/>
              <wp:docPr id="10" name="Rectangle: Rounded Corners 10"/>
              <wp:cNvGraphicFramePr/>
              <a:graphic xmlns:a="http://schemas.openxmlformats.org/drawingml/2006/main">
                <a:graphicData uri="http://schemas.microsoft.com/office/word/2010/wordprocessingShape">
                  <wps:wsp>
                    <wps:cNvSpPr/>
                    <wps:spPr>
                      <a:xfrm>
                        <a:off x="2459925" y="3670463"/>
                        <a:ext cx="5772150" cy="219075"/>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3771D101" w14:textId="351E224B" w:rsidR="007E0982" w:rsidRDefault="00D60A14">
                          <w:pPr>
                            <w:ind w:left="0" w:firstLine="0"/>
                            <w:jc w:val="left"/>
                            <w:textDirection w:val="btLr"/>
                          </w:pPr>
                          <w:r>
                            <w:rPr>
                              <w:rFonts w:ascii="Arial Narrow" w:eastAsia="Arial Narrow" w:hAnsi="Arial Narrow" w:cs="Arial Narrow"/>
                              <w:b/>
                              <w:color w:val="000000"/>
                              <w:sz w:val="16"/>
                            </w:rPr>
                            <w:t xml:space="preserve">Research Article                                                                                                                    </w:t>
                          </w:r>
                          <w:r w:rsidR="0027045B">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246BE077" w14:textId="77777777" w:rsidR="007E0982" w:rsidRDefault="007E0982">
                          <w:pPr>
                            <w:ind w:left="0" w:firstLine="566"/>
                            <w:textDirection w:val="btLr"/>
                          </w:pPr>
                        </w:p>
                      </w:txbxContent>
                    </wps:txbx>
                    <wps:bodyPr spcFirstLastPara="1" wrap="square" lIns="91425" tIns="45700" rIns="91425" bIns="45700" anchor="t" anchorCtr="0">
                      <a:noAutofit/>
                    </wps:bodyPr>
                  </wps:wsp>
                </a:graphicData>
              </a:graphic>
            </wp:anchor>
          </w:drawing>
        </mc:Choice>
        <mc:Fallback>
          <w:pict>
            <v:roundrect w14:anchorId="42A855AB" id="Rectangle: Rounded Corners 10" o:spid="_x0000_s1026" style="position:absolute;margin-left:-55pt;margin-top:7pt;width:455.5pt;height:18.25pt;z-index:25165926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" fillcolor="#538cd5" strokecolor="#538cd5" strokeweight="1pt">
              <v:stroke startarrowwidth="narrow" startarrowlength="short" endarrowwidth="narrow" endarrowlength="short"/>
              <v:textbox inset="2.53958mm,1.2694mm,2.53958mm,1.2694mm">
                <w:txbxContent>
                  <w:p w14:paraId="3771D101" w14:textId="351E224B" w:rsidR="007E0982" w:rsidRDefault="00D60A14">
                    <w:pPr>
                      <w:ind w:left="0" w:firstLine="0"/>
                      <w:jc w:val="left"/>
                      <w:textDirection w:val="btLr"/>
                    </w:pPr>
                    <w:r>
                      <w:rPr>
                        <w:rFonts w:ascii="Arial Narrow" w:eastAsia="Arial Narrow" w:hAnsi="Arial Narrow" w:cs="Arial Narrow"/>
                        <w:b/>
                        <w:color w:val="000000"/>
                        <w:sz w:val="16"/>
                      </w:rPr>
                      <w:t xml:space="preserve">Research Article                                                                                                                    </w:t>
                    </w:r>
                    <w:r w:rsidR="0027045B">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246BE077" w14:textId="77777777" w:rsidR="007E0982" w:rsidRDefault="007E0982">
                    <w:pPr>
                      <w:ind w:left="0" w:firstLine="566"/>
                      <w:textDirection w:val="btLr"/>
                    </w:pPr>
                  </w:p>
                </w:txbxContent>
              </v:textbox>
              <w10:wrap type="square"/>
            </v:roundrect>
          </w:pict>
        </mc:Fallback>
      </mc:AlternateContent>
    </w:r>
  </w:p>
  <w:p w14:paraId="6AF8180C" w14:textId="77777777" w:rsidR="007E0982" w:rsidRDefault="007E0982">
    <w:pPr>
      <w:pBdr>
        <w:top w:val="nil"/>
        <w:left w:val="nil"/>
        <w:bottom w:val="nil"/>
        <w:right w:val="nil"/>
        <w:between w:val="nil"/>
      </w:pBdr>
      <w:tabs>
        <w:tab w:val="center" w:pos="4513"/>
        <w:tab w:val="right" w:pos="9026"/>
      </w:tabs>
      <w:ind w:left="0" w:firstLine="0"/>
      <w:rPr>
        <w:rFonts w:ascii="Arial Narrow" w:eastAsia="Arial Narrow" w:hAnsi="Arial Narrow" w:cs="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28A"/>
    <w:multiLevelType w:val="multilevel"/>
    <w:tmpl w:val="EE967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D7011"/>
    <w:multiLevelType w:val="multilevel"/>
    <w:tmpl w:val="FE1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F5DA6"/>
    <w:multiLevelType w:val="multilevel"/>
    <w:tmpl w:val="08F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F2EAE"/>
    <w:multiLevelType w:val="multilevel"/>
    <w:tmpl w:val="233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574FA"/>
    <w:multiLevelType w:val="multilevel"/>
    <w:tmpl w:val="C44C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2AE4"/>
    <w:multiLevelType w:val="multilevel"/>
    <w:tmpl w:val="53F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D4DDC"/>
    <w:multiLevelType w:val="multilevel"/>
    <w:tmpl w:val="7E8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47D7F"/>
    <w:multiLevelType w:val="multilevel"/>
    <w:tmpl w:val="99C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542FE"/>
    <w:multiLevelType w:val="multilevel"/>
    <w:tmpl w:val="92DCA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E3622"/>
    <w:multiLevelType w:val="multilevel"/>
    <w:tmpl w:val="D54A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21728"/>
    <w:multiLevelType w:val="multilevel"/>
    <w:tmpl w:val="211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378E1"/>
    <w:multiLevelType w:val="multilevel"/>
    <w:tmpl w:val="3E5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F3AC0"/>
    <w:multiLevelType w:val="multilevel"/>
    <w:tmpl w:val="41002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1"/>
  </w:num>
  <w:num w:numId="5">
    <w:abstractNumId w:val="10"/>
  </w:num>
  <w:num w:numId="6">
    <w:abstractNumId w:val="5"/>
  </w:num>
  <w:num w:numId="7">
    <w:abstractNumId w:val="3"/>
  </w:num>
  <w:num w:numId="8">
    <w:abstractNumId w:val="4"/>
  </w:num>
  <w:num w:numId="9">
    <w:abstractNumId w:val="7"/>
  </w:num>
  <w:num w:numId="10">
    <w:abstractNumId w:val="12"/>
  </w:num>
  <w:num w:numId="11">
    <w:abstractNumId w:val="12"/>
    <w:lvlOverride w:ilvl="1">
      <w:lvl w:ilvl="1">
        <w:numFmt w:val="decimal"/>
        <w:lvlText w:val="%2."/>
        <w:lvlJc w:val="left"/>
      </w:lvl>
    </w:lvlOverride>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82"/>
    <w:rsid w:val="00034CDC"/>
    <w:rsid w:val="00035C62"/>
    <w:rsid w:val="00091DD1"/>
    <w:rsid w:val="000B0F37"/>
    <w:rsid w:val="000C1933"/>
    <w:rsid w:val="0019015C"/>
    <w:rsid w:val="001C5C55"/>
    <w:rsid w:val="001E27DA"/>
    <w:rsid w:val="001E7327"/>
    <w:rsid w:val="001F2FFB"/>
    <w:rsid w:val="002152D4"/>
    <w:rsid w:val="00243669"/>
    <w:rsid w:val="00243EA0"/>
    <w:rsid w:val="0027045B"/>
    <w:rsid w:val="002C7551"/>
    <w:rsid w:val="00357EB2"/>
    <w:rsid w:val="00374E42"/>
    <w:rsid w:val="003C2580"/>
    <w:rsid w:val="00402B83"/>
    <w:rsid w:val="004048A8"/>
    <w:rsid w:val="00424C2B"/>
    <w:rsid w:val="0042653B"/>
    <w:rsid w:val="0043744B"/>
    <w:rsid w:val="00486D1D"/>
    <w:rsid w:val="004B059B"/>
    <w:rsid w:val="004D7F7B"/>
    <w:rsid w:val="005349D2"/>
    <w:rsid w:val="00536B6F"/>
    <w:rsid w:val="0056576F"/>
    <w:rsid w:val="005916ED"/>
    <w:rsid w:val="005E2E5A"/>
    <w:rsid w:val="005F1598"/>
    <w:rsid w:val="006D212A"/>
    <w:rsid w:val="00744A72"/>
    <w:rsid w:val="00790DB0"/>
    <w:rsid w:val="007A5536"/>
    <w:rsid w:val="007B77CD"/>
    <w:rsid w:val="007E0982"/>
    <w:rsid w:val="007E615A"/>
    <w:rsid w:val="008C663F"/>
    <w:rsid w:val="00905B71"/>
    <w:rsid w:val="00915092"/>
    <w:rsid w:val="00926415"/>
    <w:rsid w:val="009402FE"/>
    <w:rsid w:val="00947F3D"/>
    <w:rsid w:val="00971C27"/>
    <w:rsid w:val="00974223"/>
    <w:rsid w:val="009D521F"/>
    <w:rsid w:val="009D7C98"/>
    <w:rsid w:val="00A035AC"/>
    <w:rsid w:val="00A6243B"/>
    <w:rsid w:val="00A94C74"/>
    <w:rsid w:val="00AA1F29"/>
    <w:rsid w:val="00AD3368"/>
    <w:rsid w:val="00AF088C"/>
    <w:rsid w:val="00B12E30"/>
    <w:rsid w:val="00B731D9"/>
    <w:rsid w:val="00BD1ECD"/>
    <w:rsid w:val="00BD41C0"/>
    <w:rsid w:val="00BE6228"/>
    <w:rsid w:val="00C3795F"/>
    <w:rsid w:val="00C63DF2"/>
    <w:rsid w:val="00CB7110"/>
    <w:rsid w:val="00CC1B41"/>
    <w:rsid w:val="00CC6930"/>
    <w:rsid w:val="00CD599B"/>
    <w:rsid w:val="00D60A14"/>
    <w:rsid w:val="00D627CB"/>
    <w:rsid w:val="00DE30B7"/>
    <w:rsid w:val="00E8133E"/>
    <w:rsid w:val="00F07BF0"/>
    <w:rsid w:val="00F85EB5"/>
    <w:rsid w:val="00F9572A"/>
    <w:rsid w:val="00FB55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1DD6D"/>
  <w15:docId w15:val="{66131C36-3DF0-49FE-A2C9-C88B5D5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en-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DE30B7"/>
    <w:rPr>
      <w:color w:val="605E5C"/>
      <w:shd w:val="clear" w:color="auto" w:fill="E1DFDD"/>
    </w:rPr>
  </w:style>
  <w:style w:type="paragraph" w:styleId="NormalWeb">
    <w:name w:val="Normal (Web)"/>
    <w:basedOn w:val="Normal"/>
    <w:uiPriority w:val="99"/>
    <w:unhideWhenUsed/>
    <w:rsid w:val="00CB7110"/>
    <w:rPr>
      <w:sz w:val="24"/>
      <w:szCs w:val="24"/>
    </w:rPr>
  </w:style>
  <w:style w:type="character" w:styleId="CommentReference">
    <w:name w:val="annotation reference"/>
    <w:basedOn w:val="DefaultParagraphFont"/>
    <w:uiPriority w:val="99"/>
    <w:semiHidden/>
    <w:unhideWhenUsed/>
    <w:rsid w:val="009D7C98"/>
    <w:rPr>
      <w:sz w:val="16"/>
      <w:szCs w:val="16"/>
    </w:rPr>
  </w:style>
  <w:style w:type="paragraph" w:styleId="CommentText">
    <w:name w:val="annotation text"/>
    <w:basedOn w:val="Normal"/>
    <w:link w:val="CommentTextChar"/>
    <w:uiPriority w:val="99"/>
    <w:semiHidden/>
    <w:unhideWhenUsed/>
    <w:rsid w:val="009D7C98"/>
    <w:rPr>
      <w:sz w:val="20"/>
      <w:szCs w:val="20"/>
    </w:rPr>
  </w:style>
  <w:style w:type="character" w:customStyle="1" w:styleId="CommentTextChar">
    <w:name w:val="Comment Text Char"/>
    <w:basedOn w:val="DefaultParagraphFont"/>
    <w:link w:val="CommentText"/>
    <w:uiPriority w:val="99"/>
    <w:semiHidden/>
    <w:rsid w:val="009D7C98"/>
    <w:rPr>
      <w:sz w:val="20"/>
      <w:szCs w:val="20"/>
    </w:rPr>
  </w:style>
  <w:style w:type="paragraph" w:styleId="CommentSubject">
    <w:name w:val="annotation subject"/>
    <w:basedOn w:val="CommentText"/>
    <w:next w:val="CommentText"/>
    <w:link w:val="CommentSubjectChar"/>
    <w:uiPriority w:val="99"/>
    <w:semiHidden/>
    <w:unhideWhenUsed/>
    <w:rsid w:val="009D7C98"/>
    <w:rPr>
      <w:b/>
      <w:bCs/>
    </w:rPr>
  </w:style>
  <w:style w:type="character" w:customStyle="1" w:styleId="CommentSubjectChar">
    <w:name w:val="Comment Subject Char"/>
    <w:basedOn w:val="CommentTextChar"/>
    <w:link w:val="CommentSubject"/>
    <w:uiPriority w:val="99"/>
    <w:semiHidden/>
    <w:rsid w:val="009D7C98"/>
    <w:rPr>
      <w:b/>
      <w:bCs/>
      <w:sz w:val="20"/>
      <w:szCs w:val="20"/>
    </w:rPr>
  </w:style>
  <w:style w:type="character" w:styleId="Strong">
    <w:name w:val="Strong"/>
    <w:basedOn w:val="DefaultParagraphFont"/>
    <w:uiPriority w:val="22"/>
    <w:qFormat/>
    <w:rsid w:val="009D7C98"/>
    <w:rPr>
      <w:b/>
      <w:bCs/>
    </w:rPr>
  </w:style>
  <w:style w:type="character" w:styleId="Emphasis">
    <w:name w:val="Emphasis"/>
    <w:basedOn w:val="DefaultParagraphFont"/>
    <w:uiPriority w:val="20"/>
    <w:qFormat/>
    <w:rsid w:val="009D7C98"/>
    <w:rPr>
      <w:i/>
      <w:iCs/>
    </w:rPr>
  </w:style>
  <w:style w:type="character" w:styleId="HTMLCode">
    <w:name w:val="HTML Code"/>
    <w:basedOn w:val="DefaultParagraphFont"/>
    <w:uiPriority w:val="99"/>
    <w:semiHidden/>
    <w:unhideWhenUsed/>
    <w:rsid w:val="007A5536"/>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AA1F29"/>
    <w:rPr>
      <w:color w:val="605E5C"/>
      <w:shd w:val="clear" w:color="auto" w:fill="E1DFDD"/>
    </w:rPr>
  </w:style>
  <w:style w:type="character" w:styleId="UnresolvedMention">
    <w:name w:val="Unresolved Mention"/>
    <w:basedOn w:val="DefaultParagraphFont"/>
    <w:uiPriority w:val="99"/>
    <w:semiHidden/>
    <w:unhideWhenUsed/>
    <w:rsid w:val="0003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710">
      <w:bodyDiv w:val="1"/>
      <w:marLeft w:val="0"/>
      <w:marRight w:val="0"/>
      <w:marTop w:val="0"/>
      <w:marBottom w:val="0"/>
      <w:divBdr>
        <w:top w:val="none" w:sz="0" w:space="0" w:color="auto"/>
        <w:left w:val="none" w:sz="0" w:space="0" w:color="auto"/>
        <w:bottom w:val="none" w:sz="0" w:space="0" w:color="auto"/>
        <w:right w:val="none" w:sz="0" w:space="0" w:color="auto"/>
      </w:divBdr>
    </w:div>
    <w:div w:id="21103262">
      <w:bodyDiv w:val="1"/>
      <w:marLeft w:val="0"/>
      <w:marRight w:val="0"/>
      <w:marTop w:val="0"/>
      <w:marBottom w:val="0"/>
      <w:divBdr>
        <w:top w:val="none" w:sz="0" w:space="0" w:color="auto"/>
        <w:left w:val="none" w:sz="0" w:space="0" w:color="auto"/>
        <w:bottom w:val="none" w:sz="0" w:space="0" w:color="auto"/>
        <w:right w:val="none" w:sz="0" w:space="0" w:color="auto"/>
      </w:divBdr>
    </w:div>
    <w:div w:id="52194904">
      <w:bodyDiv w:val="1"/>
      <w:marLeft w:val="0"/>
      <w:marRight w:val="0"/>
      <w:marTop w:val="0"/>
      <w:marBottom w:val="0"/>
      <w:divBdr>
        <w:top w:val="none" w:sz="0" w:space="0" w:color="auto"/>
        <w:left w:val="none" w:sz="0" w:space="0" w:color="auto"/>
        <w:bottom w:val="none" w:sz="0" w:space="0" w:color="auto"/>
        <w:right w:val="none" w:sz="0" w:space="0" w:color="auto"/>
      </w:divBdr>
    </w:div>
    <w:div w:id="78521807">
      <w:bodyDiv w:val="1"/>
      <w:marLeft w:val="0"/>
      <w:marRight w:val="0"/>
      <w:marTop w:val="0"/>
      <w:marBottom w:val="0"/>
      <w:divBdr>
        <w:top w:val="none" w:sz="0" w:space="0" w:color="auto"/>
        <w:left w:val="none" w:sz="0" w:space="0" w:color="auto"/>
        <w:bottom w:val="none" w:sz="0" w:space="0" w:color="auto"/>
        <w:right w:val="none" w:sz="0" w:space="0" w:color="auto"/>
      </w:divBdr>
    </w:div>
    <w:div w:id="90513391">
      <w:bodyDiv w:val="1"/>
      <w:marLeft w:val="0"/>
      <w:marRight w:val="0"/>
      <w:marTop w:val="0"/>
      <w:marBottom w:val="0"/>
      <w:divBdr>
        <w:top w:val="none" w:sz="0" w:space="0" w:color="auto"/>
        <w:left w:val="none" w:sz="0" w:space="0" w:color="auto"/>
        <w:bottom w:val="none" w:sz="0" w:space="0" w:color="auto"/>
        <w:right w:val="none" w:sz="0" w:space="0" w:color="auto"/>
      </w:divBdr>
    </w:div>
    <w:div w:id="138150816">
      <w:bodyDiv w:val="1"/>
      <w:marLeft w:val="0"/>
      <w:marRight w:val="0"/>
      <w:marTop w:val="0"/>
      <w:marBottom w:val="0"/>
      <w:divBdr>
        <w:top w:val="none" w:sz="0" w:space="0" w:color="auto"/>
        <w:left w:val="none" w:sz="0" w:space="0" w:color="auto"/>
        <w:bottom w:val="none" w:sz="0" w:space="0" w:color="auto"/>
        <w:right w:val="none" w:sz="0" w:space="0" w:color="auto"/>
      </w:divBdr>
      <w:divsChild>
        <w:div w:id="1081221616">
          <w:marLeft w:val="0"/>
          <w:marRight w:val="0"/>
          <w:marTop w:val="0"/>
          <w:marBottom w:val="0"/>
          <w:divBdr>
            <w:top w:val="none" w:sz="0" w:space="0" w:color="auto"/>
            <w:left w:val="none" w:sz="0" w:space="0" w:color="auto"/>
            <w:bottom w:val="none" w:sz="0" w:space="0" w:color="auto"/>
            <w:right w:val="none" w:sz="0" w:space="0" w:color="auto"/>
          </w:divBdr>
          <w:divsChild>
            <w:div w:id="1330600541">
              <w:marLeft w:val="0"/>
              <w:marRight w:val="0"/>
              <w:marTop w:val="0"/>
              <w:marBottom w:val="0"/>
              <w:divBdr>
                <w:top w:val="none" w:sz="0" w:space="0" w:color="auto"/>
                <w:left w:val="none" w:sz="0" w:space="0" w:color="auto"/>
                <w:bottom w:val="none" w:sz="0" w:space="0" w:color="auto"/>
                <w:right w:val="none" w:sz="0" w:space="0" w:color="auto"/>
              </w:divBdr>
              <w:divsChild>
                <w:div w:id="907155803">
                  <w:marLeft w:val="0"/>
                  <w:marRight w:val="0"/>
                  <w:marTop w:val="0"/>
                  <w:marBottom w:val="0"/>
                  <w:divBdr>
                    <w:top w:val="none" w:sz="0" w:space="0" w:color="auto"/>
                    <w:left w:val="none" w:sz="0" w:space="0" w:color="auto"/>
                    <w:bottom w:val="none" w:sz="0" w:space="0" w:color="auto"/>
                    <w:right w:val="none" w:sz="0" w:space="0" w:color="auto"/>
                  </w:divBdr>
                  <w:divsChild>
                    <w:div w:id="645353357">
                      <w:marLeft w:val="0"/>
                      <w:marRight w:val="0"/>
                      <w:marTop w:val="0"/>
                      <w:marBottom w:val="0"/>
                      <w:divBdr>
                        <w:top w:val="none" w:sz="0" w:space="0" w:color="auto"/>
                        <w:left w:val="none" w:sz="0" w:space="0" w:color="auto"/>
                        <w:bottom w:val="none" w:sz="0" w:space="0" w:color="auto"/>
                        <w:right w:val="none" w:sz="0" w:space="0" w:color="auto"/>
                      </w:divBdr>
                      <w:divsChild>
                        <w:div w:id="1506551021">
                          <w:marLeft w:val="0"/>
                          <w:marRight w:val="0"/>
                          <w:marTop w:val="0"/>
                          <w:marBottom w:val="0"/>
                          <w:divBdr>
                            <w:top w:val="none" w:sz="0" w:space="0" w:color="auto"/>
                            <w:left w:val="none" w:sz="0" w:space="0" w:color="auto"/>
                            <w:bottom w:val="none" w:sz="0" w:space="0" w:color="auto"/>
                            <w:right w:val="none" w:sz="0" w:space="0" w:color="auto"/>
                          </w:divBdr>
                          <w:divsChild>
                            <w:div w:id="454714854">
                              <w:marLeft w:val="0"/>
                              <w:marRight w:val="0"/>
                              <w:marTop w:val="0"/>
                              <w:marBottom w:val="0"/>
                              <w:divBdr>
                                <w:top w:val="none" w:sz="0" w:space="0" w:color="auto"/>
                                <w:left w:val="none" w:sz="0" w:space="0" w:color="auto"/>
                                <w:bottom w:val="none" w:sz="0" w:space="0" w:color="auto"/>
                                <w:right w:val="none" w:sz="0" w:space="0" w:color="auto"/>
                              </w:divBdr>
                              <w:divsChild>
                                <w:div w:id="20665327">
                                  <w:marLeft w:val="0"/>
                                  <w:marRight w:val="0"/>
                                  <w:marTop w:val="0"/>
                                  <w:marBottom w:val="0"/>
                                  <w:divBdr>
                                    <w:top w:val="none" w:sz="0" w:space="0" w:color="auto"/>
                                    <w:left w:val="none" w:sz="0" w:space="0" w:color="auto"/>
                                    <w:bottom w:val="none" w:sz="0" w:space="0" w:color="auto"/>
                                    <w:right w:val="none" w:sz="0" w:space="0" w:color="auto"/>
                                  </w:divBdr>
                                  <w:divsChild>
                                    <w:div w:id="12876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6252">
                      <w:marLeft w:val="0"/>
                      <w:marRight w:val="0"/>
                      <w:marTop w:val="0"/>
                      <w:marBottom w:val="0"/>
                      <w:divBdr>
                        <w:top w:val="none" w:sz="0" w:space="0" w:color="auto"/>
                        <w:left w:val="none" w:sz="0" w:space="0" w:color="auto"/>
                        <w:bottom w:val="none" w:sz="0" w:space="0" w:color="auto"/>
                        <w:right w:val="none" w:sz="0" w:space="0" w:color="auto"/>
                      </w:divBdr>
                      <w:divsChild>
                        <w:div w:id="17977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90769">
      <w:bodyDiv w:val="1"/>
      <w:marLeft w:val="0"/>
      <w:marRight w:val="0"/>
      <w:marTop w:val="0"/>
      <w:marBottom w:val="0"/>
      <w:divBdr>
        <w:top w:val="none" w:sz="0" w:space="0" w:color="auto"/>
        <w:left w:val="none" w:sz="0" w:space="0" w:color="auto"/>
        <w:bottom w:val="none" w:sz="0" w:space="0" w:color="auto"/>
        <w:right w:val="none" w:sz="0" w:space="0" w:color="auto"/>
      </w:divBdr>
    </w:div>
    <w:div w:id="194855959">
      <w:bodyDiv w:val="1"/>
      <w:marLeft w:val="0"/>
      <w:marRight w:val="0"/>
      <w:marTop w:val="0"/>
      <w:marBottom w:val="0"/>
      <w:divBdr>
        <w:top w:val="none" w:sz="0" w:space="0" w:color="auto"/>
        <w:left w:val="none" w:sz="0" w:space="0" w:color="auto"/>
        <w:bottom w:val="none" w:sz="0" w:space="0" w:color="auto"/>
        <w:right w:val="none" w:sz="0" w:space="0" w:color="auto"/>
      </w:divBdr>
    </w:div>
    <w:div w:id="251469927">
      <w:bodyDiv w:val="1"/>
      <w:marLeft w:val="0"/>
      <w:marRight w:val="0"/>
      <w:marTop w:val="0"/>
      <w:marBottom w:val="0"/>
      <w:divBdr>
        <w:top w:val="none" w:sz="0" w:space="0" w:color="auto"/>
        <w:left w:val="none" w:sz="0" w:space="0" w:color="auto"/>
        <w:bottom w:val="none" w:sz="0" w:space="0" w:color="auto"/>
        <w:right w:val="none" w:sz="0" w:space="0" w:color="auto"/>
      </w:divBdr>
    </w:div>
    <w:div w:id="277955298">
      <w:bodyDiv w:val="1"/>
      <w:marLeft w:val="0"/>
      <w:marRight w:val="0"/>
      <w:marTop w:val="0"/>
      <w:marBottom w:val="0"/>
      <w:divBdr>
        <w:top w:val="none" w:sz="0" w:space="0" w:color="auto"/>
        <w:left w:val="none" w:sz="0" w:space="0" w:color="auto"/>
        <w:bottom w:val="none" w:sz="0" w:space="0" w:color="auto"/>
        <w:right w:val="none" w:sz="0" w:space="0" w:color="auto"/>
      </w:divBdr>
    </w:div>
    <w:div w:id="338393920">
      <w:bodyDiv w:val="1"/>
      <w:marLeft w:val="0"/>
      <w:marRight w:val="0"/>
      <w:marTop w:val="0"/>
      <w:marBottom w:val="0"/>
      <w:divBdr>
        <w:top w:val="none" w:sz="0" w:space="0" w:color="auto"/>
        <w:left w:val="none" w:sz="0" w:space="0" w:color="auto"/>
        <w:bottom w:val="none" w:sz="0" w:space="0" w:color="auto"/>
        <w:right w:val="none" w:sz="0" w:space="0" w:color="auto"/>
      </w:divBdr>
    </w:div>
    <w:div w:id="538975507">
      <w:bodyDiv w:val="1"/>
      <w:marLeft w:val="0"/>
      <w:marRight w:val="0"/>
      <w:marTop w:val="0"/>
      <w:marBottom w:val="0"/>
      <w:divBdr>
        <w:top w:val="none" w:sz="0" w:space="0" w:color="auto"/>
        <w:left w:val="none" w:sz="0" w:space="0" w:color="auto"/>
        <w:bottom w:val="none" w:sz="0" w:space="0" w:color="auto"/>
        <w:right w:val="none" w:sz="0" w:space="0" w:color="auto"/>
      </w:divBdr>
    </w:div>
    <w:div w:id="583338442">
      <w:bodyDiv w:val="1"/>
      <w:marLeft w:val="0"/>
      <w:marRight w:val="0"/>
      <w:marTop w:val="0"/>
      <w:marBottom w:val="0"/>
      <w:divBdr>
        <w:top w:val="none" w:sz="0" w:space="0" w:color="auto"/>
        <w:left w:val="none" w:sz="0" w:space="0" w:color="auto"/>
        <w:bottom w:val="none" w:sz="0" w:space="0" w:color="auto"/>
        <w:right w:val="none" w:sz="0" w:space="0" w:color="auto"/>
      </w:divBdr>
    </w:div>
    <w:div w:id="622884070">
      <w:bodyDiv w:val="1"/>
      <w:marLeft w:val="0"/>
      <w:marRight w:val="0"/>
      <w:marTop w:val="0"/>
      <w:marBottom w:val="0"/>
      <w:divBdr>
        <w:top w:val="none" w:sz="0" w:space="0" w:color="auto"/>
        <w:left w:val="none" w:sz="0" w:space="0" w:color="auto"/>
        <w:bottom w:val="none" w:sz="0" w:space="0" w:color="auto"/>
        <w:right w:val="none" w:sz="0" w:space="0" w:color="auto"/>
      </w:divBdr>
    </w:div>
    <w:div w:id="751894735">
      <w:bodyDiv w:val="1"/>
      <w:marLeft w:val="0"/>
      <w:marRight w:val="0"/>
      <w:marTop w:val="0"/>
      <w:marBottom w:val="0"/>
      <w:divBdr>
        <w:top w:val="none" w:sz="0" w:space="0" w:color="auto"/>
        <w:left w:val="none" w:sz="0" w:space="0" w:color="auto"/>
        <w:bottom w:val="none" w:sz="0" w:space="0" w:color="auto"/>
        <w:right w:val="none" w:sz="0" w:space="0" w:color="auto"/>
      </w:divBdr>
    </w:div>
    <w:div w:id="762141473">
      <w:bodyDiv w:val="1"/>
      <w:marLeft w:val="0"/>
      <w:marRight w:val="0"/>
      <w:marTop w:val="0"/>
      <w:marBottom w:val="0"/>
      <w:divBdr>
        <w:top w:val="none" w:sz="0" w:space="0" w:color="auto"/>
        <w:left w:val="none" w:sz="0" w:space="0" w:color="auto"/>
        <w:bottom w:val="none" w:sz="0" w:space="0" w:color="auto"/>
        <w:right w:val="none" w:sz="0" w:space="0" w:color="auto"/>
      </w:divBdr>
    </w:div>
    <w:div w:id="783504889">
      <w:bodyDiv w:val="1"/>
      <w:marLeft w:val="0"/>
      <w:marRight w:val="0"/>
      <w:marTop w:val="0"/>
      <w:marBottom w:val="0"/>
      <w:divBdr>
        <w:top w:val="none" w:sz="0" w:space="0" w:color="auto"/>
        <w:left w:val="none" w:sz="0" w:space="0" w:color="auto"/>
        <w:bottom w:val="none" w:sz="0" w:space="0" w:color="auto"/>
        <w:right w:val="none" w:sz="0" w:space="0" w:color="auto"/>
      </w:divBdr>
    </w:div>
    <w:div w:id="824008739">
      <w:bodyDiv w:val="1"/>
      <w:marLeft w:val="0"/>
      <w:marRight w:val="0"/>
      <w:marTop w:val="0"/>
      <w:marBottom w:val="0"/>
      <w:divBdr>
        <w:top w:val="none" w:sz="0" w:space="0" w:color="auto"/>
        <w:left w:val="none" w:sz="0" w:space="0" w:color="auto"/>
        <w:bottom w:val="none" w:sz="0" w:space="0" w:color="auto"/>
        <w:right w:val="none" w:sz="0" w:space="0" w:color="auto"/>
      </w:divBdr>
    </w:div>
    <w:div w:id="854076407">
      <w:bodyDiv w:val="1"/>
      <w:marLeft w:val="0"/>
      <w:marRight w:val="0"/>
      <w:marTop w:val="0"/>
      <w:marBottom w:val="0"/>
      <w:divBdr>
        <w:top w:val="none" w:sz="0" w:space="0" w:color="auto"/>
        <w:left w:val="none" w:sz="0" w:space="0" w:color="auto"/>
        <w:bottom w:val="none" w:sz="0" w:space="0" w:color="auto"/>
        <w:right w:val="none" w:sz="0" w:space="0" w:color="auto"/>
      </w:divBdr>
    </w:div>
    <w:div w:id="867718562">
      <w:bodyDiv w:val="1"/>
      <w:marLeft w:val="0"/>
      <w:marRight w:val="0"/>
      <w:marTop w:val="0"/>
      <w:marBottom w:val="0"/>
      <w:divBdr>
        <w:top w:val="none" w:sz="0" w:space="0" w:color="auto"/>
        <w:left w:val="none" w:sz="0" w:space="0" w:color="auto"/>
        <w:bottom w:val="none" w:sz="0" w:space="0" w:color="auto"/>
        <w:right w:val="none" w:sz="0" w:space="0" w:color="auto"/>
      </w:divBdr>
    </w:div>
    <w:div w:id="948270359">
      <w:bodyDiv w:val="1"/>
      <w:marLeft w:val="0"/>
      <w:marRight w:val="0"/>
      <w:marTop w:val="0"/>
      <w:marBottom w:val="0"/>
      <w:divBdr>
        <w:top w:val="none" w:sz="0" w:space="0" w:color="auto"/>
        <w:left w:val="none" w:sz="0" w:space="0" w:color="auto"/>
        <w:bottom w:val="none" w:sz="0" w:space="0" w:color="auto"/>
        <w:right w:val="none" w:sz="0" w:space="0" w:color="auto"/>
      </w:divBdr>
    </w:div>
    <w:div w:id="993681104">
      <w:bodyDiv w:val="1"/>
      <w:marLeft w:val="0"/>
      <w:marRight w:val="0"/>
      <w:marTop w:val="0"/>
      <w:marBottom w:val="0"/>
      <w:divBdr>
        <w:top w:val="none" w:sz="0" w:space="0" w:color="auto"/>
        <w:left w:val="none" w:sz="0" w:space="0" w:color="auto"/>
        <w:bottom w:val="none" w:sz="0" w:space="0" w:color="auto"/>
        <w:right w:val="none" w:sz="0" w:space="0" w:color="auto"/>
      </w:divBdr>
      <w:divsChild>
        <w:div w:id="826746170">
          <w:marLeft w:val="0"/>
          <w:marRight w:val="0"/>
          <w:marTop w:val="0"/>
          <w:marBottom w:val="0"/>
          <w:divBdr>
            <w:top w:val="none" w:sz="0" w:space="0" w:color="auto"/>
            <w:left w:val="none" w:sz="0" w:space="0" w:color="auto"/>
            <w:bottom w:val="none" w:sz="0" w:space="0" w:color="auto"/>
            <w:right w:val="none" w:sz="0" w:space="0" w:color="auto"/>
          </w:divBdr>
          <w:divsChild>
            <w:div w:id="1081175072">
              <w:marLeft w:val="0"/>
              <w:marRight w:val="0"/>
              <w:marTop w:val="0"/>
              <w:marBottom w:val="0"/>
              <w:divBdr>
                <w:top w:val="none" w:sz="0" w:space="0" w:color="auto"/>
                <w:left w:val="none" w:sz="0" w:space="0" w:color="auto"/>
                <w:bottom w:val="none" w:sz="0" w:space="0" w:color="auto"/>
                <w:right w:val="none" w:sz="0" w:space="0" w:color="auto"/>
              </w:divBdr>
              <w:divsChild>
                <w:div w:id="1199858773">
                  <w:marLeft w:val="0"/>
                  <w:marRight w:val="0"/>
                  <w:marTop w:val="0"/>
                  <w:marBottom w:val="0"/>
                  <w:divBdr>
                    <w:top w:val="none" w:sz="0" w:space="0" w:color="auto"/>
                    <w:left w:val="none" w:sz="0" w:space="0" w:color="auto"/>
                    <w:bottom w:val="none" w:sz="0" w:space="0" w:color="auto"/>
                    <w:right w:val="none" w:sz="0" w:space="0" w:color="auto"/>
                  </w:divBdr>
                  <w:divsChild>
                    <w:div w:id="137696577">
                      <w:marLeft w:val="0"/>
                      <w:marRight w:val="0"/>
                      <w:marTop w:val="0"/>
                      <w:marBottom w:val="0"/>
                      <w:divBdr>
                        <w:top w:val="none" w:sz="0" w:space="0" w:color="auto"/>
                        <w:left w:val="none" w:sz="0" w:space="0" w:color="auto"/>
                        <w:bottom w:val="none" w:sz="0" w:space="0" w:color="auto"/>
                        <w:right w:val="none" w:sz="0" w:space="0" w:color="auto"/>
                      </w:divBdr>
                      <w:divsChild>
                        <w:div w:id="1015965069">
                          <w:marLeft w:val="0"/>
                          <w:marRight w:val="0"/>
                          <w:marTop w:val="0"/>
                          <w:marBottom w:val="0"/>
                          <w:divBdr>
                            <w:top w:val="none" w:sz="0" w:space="0" w:color="auto"/>
                            <w:left w:val="none" w:sz="0" w:space="0" w:color="auto"/>
                            <w:bottom w:val="none" w:sz="0" w:space="0" w:color="auto"/>
                            <w:right w:val="none" w:sz="0" w:space="0" w:color="auto"/>
                          </w:divBdr>
                          <w:divsChild>
                            <w:div w:id="287322591">
                              <w:marLeft w:val="0"/>
                              <w:marRight w:val="0"/>
                              <w:marTop w:val="0"/>
                              <w:marBottom w:val="0"/>
                              <w:divBdr>
                                <w:top w:val="none" w:sz="0" w:space="0" w:color="auto"/>
                                <w:left w:val="none" w:sz="0" w:space="0" w:color="auto"/>
                                <w:bottom w:val="none" w:sz="0" w:space="0" w:color="auto"/>
                                <w:right w:val="none" w:sz="0" w:space="0" w:color="auto"/>
                              </w:divBdr>
                              <w:divsChild>
                                <w:div w:id="988440290">
                                  <w:marLeft w:val="0"/>
                                  <w:marRight w:val="0"/>
                                  <w:marTop w:val="0"/>
                                  <w:marBottom w:val="0"/>
                                  <w:divBdr>
                                    <w:top w:val="none" w:sz="0" w:space="0" w:color="auto"/>
                                    <w:left w:val="none" w:sz="0" w:space="0" w:color="auto"/>
                                    <w:bottom w:val="none" w:sz="0" w:space="0" w:color="auto"/>
                                    <w:right w:val="none" w:sz="0" w:space="0" w:color="auto"/>
                                  </w:divBdr>
                                  <w:divsChild>
                                    <w:div w:id="5526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94404">
                      <w:marLeft w:val="0"/>
                      <w:marRight w:val="0"/>
                      <w:marTop w:val="0"/>
                      <w:marBottom w:val="0"/>
                      <w:divBdr>
                        <w:top w:val="none" w:sz="0" w:space="0" w:color="auto"/>
                        <w:left w:val="none" w:sz="0" w:space="0" w:color="auto"/>
                        <w:bottom w:val="none" w:sz="0" w:space="0" w:color="auto"/>
                        <w:right w:val="none" w:sz="0" w:space="0" w:color="auto"/>
                      </w:divBdr>
                      <w:divsChild>
                        <w:div w:id="17308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845536">
      <w:bodyDiv w:val="1"/>
      <w:marLeft w:val="0"/>
      <w:marRight w:val="0"/>
      <w:marTop w:val="0"/>
      <w:marBottom w:val="0"/>
      <w:divBdr>
        <w:top w:val="none" w:sz="0" w:space="0" w:color="auto"/>
        <w:left w:val="none" w:sz="0" w:space="0" w:color="auto"/>
        <w:bottom w:val="none" w:sz="0" w:space="0" w:color="auto"/>
        <w:right w:val="none" w:sz="0" w:space="0" w:color="auto"/>
      </w:divBdr>
    </w:div>
    <w:div w:id="1160190396">
      <w:bodyDiv w:val="1"/>
      <w:marLeft w:val="0"/>
      <w:marRight w:val="0"/>
      <w:marTop w:val="0"/>
      <w:marBottom w:val="0"/>
      <w:divBdr>
        <w:top w:val="none" w:sz="0" w:space="0" w:color="auto"/>
        <w:left w:val="none" w:sz="0" w:space="0" w:color="auto"/>
        <w:bottom w:val="none" w:sz="0" w:space="0" w:color="auto"/>
        <w:right w:val="none" w:sz="0" w:space="0" w:color="auto"/>
      </w:divBdr>
    </w:div>
    <w:div w:id="1189686114">
      <w:bodyDiv w:val="1"/>
      <w:marLeft w:val="0"/>
      <w:marRight w:val="0"/>
      <w:marTop w:val="0"/>
      <w:marBottom w:val="0"/>
      <w:divBdr>
        <w:top w:val="none" w:sz="0" w:space="0" w:color="auto"/>
        <w:left w:val="none" w:sz="0" w:space="0" w:color="auto"/>
        <w:bottom w:val="none" w:sz="0" w:space="0" w:color="auto"/>
        <w:right w:val="none" w:sz="0" w:space="0" w:color="auto"/>
      </w:divBdr>
    </w:div>
    <w:div w:id="1191183603">
      <w:bodyDiv w:val="1"/>
      <w:marLeft w:val="0"/>
      <w:marRight w:val="0"/>
      <w:marTop w:val="0"/>
      <w:marBottom w:val="0"/>
      <w:divBdr>
        <w:top w:val="none" w:sz="0" w:space="0" w:color="auto"/>
        <w:left w:val="none" w:sz="0" w:space="0" w:color="auto"/>
        <w:bottom w:val="none" w:sz="0" w:space="0" w:color="auto"/>
        <w:right w:val="none" w:sz="0" w:space="0" w:color="auto"/>
      </w:divBdr>
    </w:div>
    <w:div w:id="1263101938">
      <w:bodyDiv w:val="1"/>
      <w:marLeft w:val="0"/>
      <w:marRight w:val="0"/>
      <w:marTop w:val="0"/>
      <w:marBottom w:val="0"/>
      <w:divBdr>
        <w:top w:val="none" w:sz="0" w:space="0" w:color="auto"/>
        <w:left w:val="none" w:sz="0" w:space="0" w:color="auto"/>
        <w:bottom w:val="none" w:sz="0" w:space="0" w:color="auto"/>
        <w:right w:val="none" w:sz="0" w:space="0" w:color="auto"/>
      </w:divBdr>
    </w:div>
    <w:div w:id="1284768654">
      <w:bodyDiv w:val="1"/>
      <w:marLeft w:val="0"/>
      <w:marRight w:val="0"/>
      <w:marTop w:val="0"/>
      <w:marBottom w:val="0"/>
      <w:divBdr>
        <w:top w:val="none" w:sz="0" w:space="0" w:color="auto"/>
        <w:left w:val="none" w:sz="0" w:space="0" w:color="auto"/>
        <w:bottom w:val="none" w:sz="0" w:space="0" w:color="auto"/>
        <w:right w:val="none" w:sz="0" w:space="0" w:color="auto"/>
      </w:divBdr>
    </w:div>
    <w:div w:id="1301308598">
      <w:bodyDiv w:val="1"/>
      <w:marLeft w:val="0"/>
      <w:marRight w:val="0"/>
      <w:marTop w:val="0"/>
      <w:marBottom w:val="0"/>
      <w:divBdr>
        <w:top w:val="none" w:sz="0" w:space="0" w:color="auto"/>
        <w:left w:val="none" w:sz="0" w:space="0" w:color="auto"/>
        <w:bottom w:val="none" w:sz="0" w:space="0" w:color="auto"/>
        <w:right w:val="none" w:sz="0" w:space="0" w:color="auto"/>
      </w:divBdr>
    </w:div>
    <w:div w:id="1356617410">
      <w:bodyDiv w:val="1"/>
      <w:marLeft w:val="0"/>
      <w:marRight w:val="0"/>
      <w:marTop w:val="0"/>
      <w:marBottom w:val="0"/>
      <w:divBdr>
        <w:top w:val="none" w:sz="0" w:space="0" w:color="auto"/>
        <w:left w:val="none" w:sz="0" w:space="0" w:color="auto"/>
        <w:bottom w:val="none" w:sz="0" w:space="0" w:color="auto"/>
        <w:right w:val="none" w:sz="0" w:space="0" w:color="auto"/>
      </w:divBdr>
    </w:div>
    <w:div w:id="1383600349">
      <w:bodyDiv w:val="1"/>
      <w:marLeft w:val="0"/>
      <w:marRight w:val="0"/>
      <w:marTop w:val="0"/>
      <w:marBottom w:val="0"/>
      <w:divBdr>
        <w:top w:val="none" w:sz="0" w:space="0" w:color="auto"/>
        <w:left w:val="none" w:sz="0" w:space="0" w:color="auto"/>
        <w:bottom w:val="none" w:sz="0" w:space="0" w:color="auto"/>
        <w:right w:val="none" w:sz="0" w:space="0" w:color="auto"/>
      </w:divBdr>
    </w:div>
    <w:div w:id="1496652438">
      <w:bodyDiv w:val="1"/>
      <w:marLeft w:val="0"/>
      <w:marRight w:val="0"/>
      <w:marTop w:val="0"/>
      <w:marBottom w:val="0"/>
      <w:divBdr>
        <w:top w:val="none" w:sz="0" w:space="0" w:color="auto"/>
        <w:left w:val="none" w:sz="0" w:space="0" w:color="auto"/>
        <w:bottom w:val="none" w:sz="0" w:space="0" w:color="auto"/>
        <w:right w:val="none" w:sz="0" w:space="0" w:color="auto"/>
      </w:divBdr>
    </w:div>
    <w:div w:id="1503160440">
      <w:bodyDiv w:val="1"/>
      <w:marLeft w:val="0"/>
      <w:marRight w:val="0"/>
      <w:marTop w:val="0"/>
      <w:marBottom w:val="0"/>
      <w:divBdr>
        <w:top w:val="none" w:sz="0" w:space="0" w:color="auto"/>
        <w:left w:val="none" w:sz="0" w:space="0" w:color="auto"/>
        <w:bottom w:val="none" w:sz="0" w:space="0" w:color="auto"/>
        <w:right w:val="none" w:sz="0" w:space="0" w:color="auto"/>
      </w:divBdr>
    </w:div>
    <w:div w:id="1574123975">
      <w:bodyDiv w:val="1"/>
      <w:marLeft w:val="0"/>
      <w:marRight w:val="0"/>
      <w:marTop w:val="0"/>
      <w:marBottom w:val="0"/>
      <w:divBdr>
        <w:top w:val="none" w:sz="0" w:space="0" w:color="auto"/>
        <w:left w:val="none" w:sz="0" w:space="0" w:color="auto"/>
        <w:bottom w:val="none" w:sz="0" w:space="0" w:color="auto"/>
        <w:right w:val="none" w:sz="0" w:space="0" w:color="auto"/>
      </w:divBdr>
    </w:div>
    <w:div w:id="1593396561">
      <w:bodyDiv w:val="1"/>
      <w:marLeft w:val="0"/>
      <w:marRight w:val="0"/>
      <w:marTop w:val="0"/>
      <w:marBottom w:val="0"/>
      <w:divBdr>
        <w:top w:val="none" w:sz="0" w:space="0" w:color="auto"/>
        <w:left w:val="none" w:sz="0" w:space="0" w:color="auto"/>
        <w:bottom w:val="none" w:sz="0" w:space="0" w:color="auto"/>
        <w:right w:val="none" w:sz="0" w:space="0" w:color="auto"/>
      </w:divBdr>
    </w:div>
    <w:div w:id="1616788263">
      <w:bodyDiv w:val="1"/>
      <w:marLeft w:val="0"/>
      <w:marRight w:val="0"/>
      <w:marTop w:val="0"/>
      <w:marBottom w:val="0"/>
      <w:divBdr>
        <w:top w:val="none" w:sz="0" w:space="0" w:color="auto"/>
        <w:left w:val="none" w:sz="0" w:space="0" w:color="auto"/>
        <w:bottom w:val="none" w:sz="0" w:space="0" w:color="auto"/>
        <w:right w:val="none" w:sz="0" w:space="0" w:color="auto"/>
      </w:divBdr>
    </w:div>
    <w:div w:id="1637368273">
      <w:bodyDiv w:val="1"/>
      <w:marLeft w:val="0"/>
      <w:marRight w:val="0"/>
      <w:marTop w:val="0"/>
      <w:marBottom w:val="0"/>
      <w:divBdr>
        <w:top w:val="none" w:sz="0" w:space="0" w:color="auto"/>
        <w:left w:val="none" w:sz="0" w:space="0" w:color="auto"/>
        <w:bottom w:val="none" w:sz="0" w:space="0" w:color="auto"/>
        <w:right w:val="none" w:sz="0" w:space="0" w:color="auto"/>
      </w:divBdr>
    </w:div>
    <w:div w:id="1732727833">
      <w:bodyDiv w:val="1"/>
      <w:marLeft w:val="0"/>
      <w:marRight w:val="0"/>
      <w:marTop w:val="0"/>
      <w:marBottom w:val="0"/>
      <w:divBdr>
        <w:top w:val="none" w:sz="0" w:space="0" w:color="auto"/>
        <w:left w:val="none" w:sz="0" w:space="0" w:color="auto"/>
        <w:bottom w:val="none" w:sz="0" w:space="0" w:color="auto"/>
        <w:right w:val="none" w:sz="0" w:space="0" w:color="auto"/>
      </w:divBdr>
    </w:div>
    <w:div w:id="1786658981">
      <w:bodyDiv w:val="1"/>
      <w:marLeft w:val="0"/>
      <w:marRight w:val="0"/>
      <w:marTop w:val="0"/>
      <w:marBottom w:val="0"/>
      <w:divBdr>
        <w:top w:val="none" w:sz="0" w:space="0" w:color="auto"/>
        <w:left w:val="none" w:sz="0" w:space="0" w:color="auto"/>
        <w:bottom w:val="none" w:sz="0" w:space="0" w:color="auto"/>
        <w:right w:val="none" w:sz="0" w:space="0" w:color="auto"/>
      </w:divBdr>
    </w:div>
    <w:div w:id="1799183093">
      <w:bodyDiv w:val="1"/>
      <w:marLeft w:val="0"/>
      <w:marRight w:val="0"/>
      <w:marTop w:val="0"/>
      <w:marBottom w:val="0"/>
      <w:divBdr>
        <w:top w:val="none" w:sz="0" w:space="0" w:color="auto"/>
        <w:left w:val="none" w:sz="0" w:space="0" w:color="auto"/>
        <w:bottom w:val="none" w:sz="0" w:space="0" w:color="auto"/>
        <w:right w:val="none" w:sz="0" w:space="0" w:color="auto"/>
      </w:divBdr>
    </w:div>
    <w:div w:id="1819497092">
      <w:bodyDiv w:val="1"/>
      <w:marLeft w:val="0"/>
      <w:marRight w:val="0"/>
      <w:marTop w:val="0"/>
      <w:marBottom w:val="0"/>
      <w:divBdr>
        <w:top w:val="none" w:sz="0" w:space="0" w:color="auto"/>
        <w:left w:val="none" w:sz="0" w:space="0" w:color="auto"/>
        <w:bottom w:val="none" w:sz="0" w:space="0" w:color="auto"/>
        <w:right w:val="none" w:sz="0" w:space="0" w:color="auto"/>
      </w:divBdr>
    </w:div>
    <w:div w:id="1838961542">
      <w:bodyDiv w:val="1"/>
      <w:marLeft w:val="0"/>
      <w:marRight w:val="0"/>
      <w:marTop w:val="0"/>
      <w:marBottom w:val="0"/>
      <w:divBdr>
        <w:top w:val="none" w:sz="0" w:space="0" w:color="auto"/>
        <w:left w:val="none" w:sz="0" w:space="0" w:color="auto"/>
        <w:bottom w:val="none" w:sz="0" w:space="0" w:color="auto"/>
        <w:right w:val="none" w:sz="0" w:space="0" w:color="auto"/>
      </w:divBdr>
    </w:div>
    <w:div w:id="1864975415">
      <w:bodyDiv w:val="1"/>
      <w:marLeft w:val="0"/>
      <w:marRight w:val="0"/>
      <w:marTop w:val="0"/>
      <w:marBottom w:val="0"/>
      <w:divBdr>
        <w:top w:val="none" w:sz="0" w:space="0" w:color="auto"/>
        <w:left w:val="none" w:sz="0" w:space="0" w:color="auto"/>
        <w:bottom w:val="none" w:sz="0" w:space="0" w:color="auto"/>
        <w:right w:val="none" w:sz="0" w:space="0" w:color="auto"/>
      </w:divBdr>
    </w:div>
    <w:div w:id="1911230881">
      <w:bodyDiv w:val="1"/>
      <w:marLeft w:val="0"/>
      <w:marRight w:val="0"/>
      <w:marTop w:val="0"/>
      <w:marBottom w:val="0"/>
      <w:divBdr>
        <w:top w:val="none" w:sz="0" w:space="0" w:color="auto"/>
        <w:left w:val="none" w:sz="0" w:space="0" w:color="auto"/>
        <w:bottom w:val="none" w:sz="0" w:space="0" w:color="auto"/>
        <w:right w:val="none" w:sz="0" w:space="0" w:color="auto"/>
      </w:divBdr>
    </w:div>
    <w:div w:id="1928728251">
      <w:bodyDiv w:val="1"/>
      <w:marLeft w:val="0"/>
      <w:marRight w:val="0"/>
      <w:marTop w:val="0"/>
      <w:marBottom w:val="0"/>
      <w:divBdr>
        <w:top w:val="none" w:sz="0" w:space="0" w:color="auto"/>
        <w:left w:val="none" w:sz="0" w:space="0" w:color="auto"/>
        <w:bottom w:val="none" w:sz="0" w:space="0" w:color="auto"/>
        <w:right w:val="none" w:sz="0" w:space="0" w:color="auto"/>
      </w:divBdr>
    </w:div>
    <w:div w:id="1959599425">
      <w:bodyDiv w:val="1"/>
      <w:marLeft w:val="0"/>
      <w:marRight w:val="0"/>
      <w:marTop w:val="0"/>
      <w:marBottom w:val="0"/>
      <w:divBdr>
        <w:top w:val="none" w:sz="0" w:space="0" w:color="auto"/>
        <w:left w:val="none" w:sz="0" w:space="0" w:color="auto"/>
        <w:bottom w:val="none" w:sz="0" w:space="0" w:color="auto"/>
        <w:right w:val="none" w:sz="0" w:space="0" w:color="auto"/>
      </w:divBdr>
    </w:div>
    <w:div w:id="2048872704">
      <w:bodyDiv w:val="1"/>
      <w:marLeft w:val="0"/>
      <w:marRight w:val="0"/>
      <w:marTop w:val="0"/>
      <w:marBottom w:val="0"/>
      <w:divBdr>
        <w:top w:val="none" w:sz="0" w:space="0" w:color="auto"/>
        <w:left w:val="none" w:sz="0" w:space="0" w:color="auto"/>
        <w:bottom w:val="none" w:sz="0" w:space="0" w:color="auto"/>
        <w:right w:val="none" w:sz="0" w:space="0" w:color="auto"/>
      </w:divBdr>
    </w:div>
    <w:div w:id="212607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faam.12338" TargetMode="External"/><Relationship Id="rId18" Type="http://schemas.openxmlformats.org/officeDocument/2006/relationships/hyperlink" Target="https://doi.org/10.1088/1755-1315/1414/1/012081" TargetMode="External"/><Relationship Id="rId26" Type="http://schemas.openxmlformats.org/officeDocument/2006/relationships/hyperlink" Target="https://doi.org/10.1088/1755-1315/1414/1/012082" TargetMode="External"/><Relationship Id="rId39" Type="http://schemas.openxmlformats.org/officeDocument/2006/relationships/theme" Target="theme/theme1.xml"/><Relationship Id="rId21" Type="http://schemas.openxmlformats.org/officeDocument/2006/relationships/hyperlink" Target="https://doi.org/10.5296/jpag.v11i1.18197" TargetMode="External"/><Relationship Id="rId34" Type="http://schemas.openxmlformats.org/officeDocument/2006/relationships/hyperlink" Target="https://doi.org/10.12688/mep.20515.2" TargetMode="External"/><Relationship Id="rId7" Type="http://schemas.openxmlformats.org/officeDocument/2006/relationships/endnotes" Target="endnotes.xml"/><Relationship Id="rId12" Type="http://schemas.openxmlformats.org/officeDocument/2006/relationships/hyperlink" Target="https://doi.org/10.1108/JEEE-08-2020-0288" TargetMode="External"/><Relationship Id="rId17" Type="http://schemas.openxmlformats.org/officeDocument/2006/relationships/hyperlink" Target="https://doi.org/10.1088/1755-1315/1556/1/012077" TargetMode="External"/><Relationship Id="rId25" Type="http://schemas.openxmlformats.org/officeDocument/2006/relationships/hyperlink" Target="https://doi.org/10.11606/s1518-8787.2022056003731" TargetMode="External"/><Relationship Id="rId33" Type="http://schemas.openxmlformats.org/officeDocument/2006/relationships/hyperlink" Target="https://doi.org/10.26858/jiap.v13i1.4535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0589/proceedings.2024.1096" TargetMode="External"/><Relationship Id="rId20" Type="http://schemas.openxmlformats.org/officeDocument/2006/relationships/hyperlink" Target="https://doi.org/10.1051/e3sconf/202567702006" TargetMode="External"/><Relationship Id="rId29" Type="http://schemas.openxmlformats.org/officeDocument/2006/relationships/hyperlink" Target="https://doi.org/10.47828/jianaasian.v12i2.2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K-02-2022-0292" TargetMode="External"/><Relationship Id="rId24" Type="http://schemas.openxmlformats.org/officeDocument/2006/relationships/hyperlink" Target="https://doi.org/10.33258/konfrontasi2.v9i3.241" TargetMode="External"/><Relationship Id="rId32" Type="http://schemas.openxmlformats.org/officeDocument/2006/relationships/hyperlink" Target="https://doi.org/10.47556/j.ijikmmena.9.1.2021.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8/S2754-586520230000002006" TargetMode="External"/><Relationship Id="rId23" Type="http://schemas.openxmlformats.org/officeDocument/2006/relationships/hyperlink" Target="https://doi.org/10.1080/10510974.2024.2348300" TargetMode="External"/><Relationship Id="rId28" Type="http://schemas.openxmlformats.org/officeDocument/2006/relationships/hyperlink" Target="https://doi.org/10.14293/111.000/000022.v1" TargetMode="External"/><Relationship Id="rId36" Type="http://schemas.openxmlformats.org/officeDocument/2006/relationships/header" Target="header1.xml"/><Relationship Id="rId10" Type="http://schemas.openxmlformats.org/officeDocument/2006/relationships/hyperlink" Target="https://doi.org/10.15294/ujph.v10i1.36806" TargetMode="External"/><Relationship Id="rId19" Type="http://schemas.openxmlformats.org/officeDocument/2006/relationships/hyperlink" Target="https://doi.org/10.56294/mw2025914" TargetMode="External"/><Relationship Id="rId31" Type="http://schemas.openxmlformats.org/officeDocument/2006/relationships/hyperlink" Target="https://doi.org/10.59188/jcs.v2i7.432" TargetMode="External"/><Relationship Id="rId4" Type="http://schemas.openxmlformats.org/officeDocument/2006/relationships/settings" Target="settings.xml"/><Relationship Id="rId9" Type="http://schemas.openxmlformats.org/officeDocument/2006/relationships/hyperlink" Target="https://doi.org/10.36526/js.v3i2.695" TargetMode="External"/><Relationship Id="rId14" Type="http://schemas.openxmlformats.org/officeDocument/2006/relationships/hyperlink" Target="https://doi.org/10.12927/hcpol.2023.27154" TargetMode="External"/><Relationship Id="rId22" Type="http://schemas.openxmlformats.org/officeDocument/2006/relationships/hyperlink" Target="https://doi.org/10.1002/nml.70006" TargetMode="External"/><Relationship Id="rId27" Type="http://schemas.openxmlformats.org/officeDocument/2006/relationships/hyperlink" Target="https://doi.org/10.31004/jptam.v9i2.27453" TargetMode="External"/><Relationship Id="rId30" Type="http://schemas.openxmlformats.org/officeDocument/2006/relationships/hyperlink" Target="https://doi.org/10.36526/santhet.v9i6.5687" TargetMode="External"/><Relationship Id="rId35" Type="http://schemas.openxmlformats.org/officeDocument/2006/relationships/hyperlink" Target="https://doi.org/10.1177/02750740241229989" TargetMode="External"/><Relationship Id="rId8" Type="http://schemas.openxmlformats.org/officeDocument/2006/relationships/hyperlink" Target="mailto:anggaputera@unp.ac.id"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98q9vu5zoA+D2xsM+l55hkY3w==">CgMxLjAyCGguZ2pkZ3hzOAByITF5LXo4Q2dwaEI0OFNUOUNHaTQ3TVpfTUQ2amdHVDcyaA==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2</cp:revision>
  <dcterms:created xsi:type="dcterms:W3CDTF">2026-05-07T22:05:00Z</dcterms:created>
  <dcterms:modified xsi:type="dcterms:W3CDTF">2026-05-07T22:05:00Z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